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598114" w14:textId="4848C247" w:rsidR="005C3E07" w:rsidRPr="005C3E07" w:rsidRDefault="005B2F27" w:rsidP="005C3E07">
      <w:pPr>
        <w:tabs>
          <w:tab w:val="left" w:pos="6521"/>
        </w:tabs>
        <w:ind w:firstLine="5387"/>
        <w:jc w:val="right"/>
      </w:pPr>
      <w:r>
        <w:rPr>
          <w:rFonts w:cs="Arial"/>
          <w:noProof/>
          <w:lang w:eastAsia="et-EE"/>
        </w:rPr>
        <w:drawing>
          <wp:anchor distT="0" distB="0" distL="114300" distR="114300" simplePos="0" relativeHeight="251659264" behindDoc="0" locked="0" layoutInCell="1" allowOverlap="1" wp14:anchorId="264DE2A3" wp14:editId="2418C2F9">
            <wp:simplePos x="0" y="0"/>
            <wp:positionH relativeFrom="page">
              <wp:posOffset>284480</wp:posOffset>
            </wp:positionH>
            <wp:positionV relativeFrom="page">
              <wp:posOffset>504190</wp:posOffset>
            </wp:positionV>
            <wp:extent cx="2937600" cy="957600"/>
            <wp:effectExtent l="0" t="0" r="0" b="0"/>
            <wp:wrapNone/>
            <wp:docPr id="185595814"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95814" name="Pilt 1855958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37600" cy="957600"/>
                    </a:xfrm>
                    <a:prstGeom prst="rect">
                      <a:avLst/>
                    </a:prstGeom>
                  </pic:spPr>
                </pic:pic>
              </a:graphicData>
            </a:graphic>
            <wp14:sizeRelH relativeFrom="margin">
              <wp14:pctWidth>0</wp14:pctWidth>
            </wp14:sizeRelH>
            <wp14:sizeRelV relativeFrom="margin">
              <wp14:pctHeight>0</wp14:pctHeight>
            </wp14:sizeRelV>
          </wp:anchor>
        </w:drawing>
      </w:r>
      <w:r w:rsidR="005C3E07">
        <w:rPr>
          <w:b/>
          <w:sz w:val="18"/>
          <w:szCs w:val="18"/>
        </w:rPr>
        <w:t xml:space="preserve">    </w:t>
      </w:r>
    </w:p>
    <w:p w14:paraId="24B9A267" w14:textId="77777777" w:rsidR="008D62BE" w:rsidRDefault="008D62BE" w:rsidP="00603F9D"/>
    <w:p w14:paraId="0097FD7F" w14:textId="77777777" w:rsidR="005C3E07" w:rsidRDefault="005C3E07" w:rsidP="00603F9D"/>
    <w:p w14:paraId="61E4ADD4" w14:textId="77777777" w:rsidR="005C3E07" w:rsidRDefault="005C3E07" w:rsidP="00603F9D"/>
    <w:p w14:paraId="78736D83" w14:textId="77777777" w:rsidR="00792300" w:rsidRDefault="00792300" w:rsidP="00603F9D"/>
    <w:p w14:paraId="6AEB14D4" w14:textId="77777777" w:rsidR="00F602ED" w:rsidRDefault="00F602ED" w:rsidP="00603F9D"/>
    <w:p w14:paraId="7960FEA0" w14:textId="77777777" w:rsidR="00EC2E1B" w:rsidRPr="008D62BE" w:rsidRDefault="00EC2E1B" w:rsidP="00603F9D"/>
    <w:tbl>
      <w:tblPr>
        <w:tblpPr w:leftFromText="180" w:rightFromText="180" w:vertAnchor="text" w:horzAnchor="margin" w:tblpXSpec="right" w:tblpY="118"/>
        <w:tblW w:w="4649" w:type="dxa"/>
        <w:tblLayout w:type="fixed"/>
        <w:tblLook w:val="0000" w:firstRow="0" w:lastRow="0" w:firstColumn="0" w:lastColumn="0" w:noHBand="0" w:noVBand="0"/>
      </w:tblPr>
      <w:tblGrid>
        <w:gridCol w:w="2082"/>
        <w:gridCol w:w="2567"/>
      </w:tblGrid>
      <w:tr w:rsidR="005D4F6A" w:rsidRPr="00536224" w14:paraId="685FBADE" w14:textId="77777777" w:rsidTr="00C76345">
        <w:trPr>
          <w:trHeight w:val="239"/>
        </w:trPr>
        <w:tc>
          <w:tcPr>
            <w:tcW w:w="2082" w:type="dxa"/>
          </w:tcPr>
          <w:p w14:paraId="01086FD3" w14:textId="6342C221" w:rsidR="005D4F6A" w:rsidRPr="0022248D" w:rsidRDefault="005D4F6A" w:rsidP="00BA6F4A">
            <w:pPr>
              <w:rPr>
                <w:rFonts w:cs="Arial"/>
              </w:rPr>
            </w:pPr>
            <w:r>
              <w:t xml:space="preserve">Teie  </w:t>
            </w:r>
            <w:r>
              <w:fldChar w:fldCharType="begin"/>
            </w:r>
            <w:r w:rsidR="00BA6F4A">
              <w:instrText xml:space="preserve"> delta_senderRegDate  \* MERGEFORMAT</w:instrText>
            </w:r>
            <w:r>
              <w:fldChar w:fldCharType="separate"/>
            </w:r>
            <w:r w:rsidR="00BA6F4A">
              <w:t>12.05.2025</w:t>
            </w:r>
            <w:r>
              <w:fldChar w:fldCharType="end"/>
            </w:r>
            <w:r w:rsidR="00BA6F4A">
              <w:t xml:space="preserve"> </w:t>
            </w:r>
          </w:p>
        </w:tc>
        <w:tc>
          <w:tcPr>
            <w:tcW w:w="2567" w:type="dxa"/>
          </w:tcPr>
          <w:p w14:paraId="3BB6A188" w14:textId="23871BB1" w:rsidR="005D4F6A" w:rsidRPr="0022248D" w:rsidRDefault="005D4F6A" w:rsidP="00BA6F4A">
            <w:pPr>
              <w:rPr>
                <w:rFonts w:cs="Arial"/>
              </w:rPr>
            </w:pPr>
            <w:r>
              <w:rPr>
                <w:rFonts w:cs="Arial"/>
              </w:rPr>
              <w:t xml:space="preserve">  </w:t>
            </w:r>
            <w:r w:rsidRPr="0022248D">
              <w:rPr>
                <w:rFonts w:cs="Arial"/>
              </w:rPr>
              <w:t xml:space="preserve">nr </w:t>
            </w:r>
            <w:fldSimple w:instr=" delta_senderRegNumber  \* MERGEFORMAT">
              <w:r w:rsidR="00BA6F4A">
                <w:t>1.1-10.1/2257-1, RAM/24-0237/-2K</w:t>
              </w:r>
            </w:fldSimple>
            <w:r w:rsidR="00BA6F4A">
              <w:t xml:space="preserve"> </w:t>
            </w:r>
          </w:p>
        </w:tc>
      </w:tr>
      <w:tr w:rsidR="005D4F6A" w:rsidRPr="00536224" w14:paraId="536E4D33" w14:textId="77777777" w:rsidTr="00C76345">
        <w:trPr>
          <w:trHeight w:val="224"/>
        </w:trPr>
        <w:tc>
          <w:tcPr>
            <w:tcW w:w="2082" w:type="dxa"/>
          </w:tcPr>
          <w:p w14:paraId="3B90C17F" w14:textId="7260634F" w:rsidR="005D4F6A" w:rsidRPr="0022248D" w:rsidRDefault="005D4F6A" w:rsidP="00A618FD">
            <w:r>
              <w:t xml:space="preserve">Meie  </w:t>
            </w:r>
            <w:r>
              <w:fldChar w:fldCharType="begin"/>
            </w:r>
            <w:r w:rsidR="00BA6F4A">
              <w:instrText xml:space="preserve"> delta_regDateTime  \* MERGEFORMAT</w:instrText>
            </w:r>
            <w:r>
              <w:fldChar w:fldCharType="separate"/>
            </w:r>
            <w:r w:rsidR="00BA6F4A">
              <w:t>23.10.2025</w:t>
            </w:r>
            <w:r>
              <w:fldChar w:fldCharType="end"/>
            </w:r>
          </w:p>
        </w:tc>
        <w:tc>
          <w:tcPr>
            <w:tcW w:w="2567" w:type="dxa"/>
          </w:tcPr>
          <w:p w14:paraId="3B5BFFBA" w14:textId="736B0EF1" w:rsidR="005D4F6A" w:rsidRPr="0022248D" w:rsidRDefault="005D4F6A" w:rsidP="00A618FD">
            <w:pPr>
              <w:rPr>
                <w:rFonts w:cs="Arial"/>
              </w:rPr>
            </w:pPr>
            <w:r>
              <w:rPr>
                <w:rFonts w:cs="Arial"/>
              </w:rPr>
              <w:t xml:space="preserve">  </w:t>
            </w:r>
            <w:r w:rsidRPr="0022248D">
              <w:rPr>
                <w:rFonts w:cs="Arial"/>
              </w:rPr>
              <w:t xml:space="preserve">nr  </w:t>
            </w:r>
            <w:r w:rsidR="00270AA5">
              <w:fldChar w:fldCharType="begin"/>
            </w:r>
            <w:r w:rsidR="00BA6F4A">
              <w:instrText xml:space="preserve"> delta_regNumber  \* MERGEFORMAT</w:instrText>
            </w:r>
            <w:r w:rsidR="00270AA5">
              <w:fldChar w:fldCharType="separate"/>
            </w:r>
            <w:r w:rsidR="00BA6F4A">
              <w:t>8-2/4225</w:t>
            </w:r>
            <w:r w:rsidR="00270AA5">
              <w:fldChar w:fldCharType="end"/>
            </w:r>
          </w:p>
        </w:tc>
      </w:tr>
    </w:tbl>
    <w:p w14:paraId="49947412" w14:textId="113E28D9" w:rsidR="0070657F" w:rsidRDefault="0070657F" w:rsidP="00B96DA9">
      <w:pPr>
        <w:tabs>
          <w:tab w:val="left" w:pos="3686"/>
        </w:tabs>
      </w:pPr>
    </w:p>
    <w:p w14:paraId="5F35A882" w14:textId="16014CE4" w:rsidR="0070657F" w:rsidRDefault="00BA6F4A" w:rsidP="005D4F6A">
      <w:fldSimple w:instr=" delta_recipientName_1  \* MERGEFORMAT">
        <w:r>
          <w:t>Rahandusministeerium</w:t>
        </w:r>
      </w:fldSimple>
    </w:p>
    <w:p w14:paraId="288E787E" w14:textId="603F537D" w:rsidR="000C5260" w:rsidRDefault="00BA6F4A" w:rsidP="000C5260">
      <w:pPr>
        <w:tabs>
          <w:tab w:val="left" w:pos="4678"/>
          <w:tab w:val="left" w:pos="6946"/>
        </w:tabs>
      </w:pPr>
      <w:fldSimple w:instr=" delta_recipientEmail_1  \* MERGEFORMAT">
        <w:r>
          <w:t>info@fin.ee</w:t>
        </w:r>
      </w:fldSimple>
    </w:p>
    <w:p w14:paraId="7CB13783" w14:textId="18B1D49E" w:rsidR="000C5260" w:rsidRDefault="000C5260" w:rsidP="000C5260">
      <w:pPr>
        <w:tabs>
          <w:tab w:val="left" w:pos="4678"/>
          <w:tab w:val="left" w:pos="6946"/>
        </w:tabs>
      </w:pPr>
    </w:p>
    <w:p w14:paraId="35AB9035" w14:textId="79366552" w:rsidR="0070657F" w:rsidRDefault="0070657F" w:rsidP="000C5260">
      <w:pPr>
        <w:tabs>
          <w:tab w:val="left" w:pos="4678"/>
          <w:tab w:val="left" w:pos="6946"/>
        </w:tabs>
      </w:pPr>
    </w:p>
    <w:p w14:paraId="11C7FF39" w14:textId="77777777" w:rsidR="00536224" w:rsidRDefault="00536224" w:rsidP="008D62BE"/>
    <w:p w14:paraId="4096E980" w14:textId="77777777" w:rsidR="00536224" w:rsidRDefault="00536224" w:rsidP="008D62BE"/>
    <w:p w14:paraId="7888AB63" w14:textId="77777777" w:rsidR="00536224" w:rsidRDefault="00536224" w:rsidP="008D62BE"/>
    <w:p w14:paraId="2E23F7A4" w14:textId="37921280" w:rsidR="00603F9D" w:rsidRPr="00877C0D" w:rsidRDefault="000B4E20" w:rsidP="00877C0D">
      <w:pPr>
        <w:pStyle w:val="Heading1"/>
        <w:ind w:right="4247"/>
        <w:rPr>
          <w:b/>
        </w:rPr>
      </w:pPr>
      <w:r w:rsidRPr="00877C0D">
        <w:rPr>
          <w:b/>
        </w:rPr>
        <w:fldChar w:fldCharType="begin"/>
      </w:r>
      <w:r w:rsidR="00BA6F4A">
        <w:rPr>
          <w:b/>
        </w:rPr>
        <w:instrText xml:space="preserve"> delta_docName</w:instrText>
      </w:r>
      <w:r w:rsidRPr="00877C0D">
        <w:rPr>
          <w:b/>
        </w:rPr>
        <w:fldChar w:fldCharType="separate"/>
      </w:r>
      <w:r w:rsidR="00BA6F4A">
        <w:rPr>
          <w:b/>
        </w:rPr>
        <w:t>Avaliku teenistuse seaduse ja teiste seaduste muutmise seaduse eelnõu kooskõlastamine</w:t>
      </w:r>
      <w:r w:rsidRPr="00877C0D">
        <w:rPr>
          <w:b/>
        </w:rPr>
        <w:fldChar w:fldCharType="end"/>
      </w:r>
    </w:p>
    <w:p w14:paraId="34E02007" w14:textId="77777777" w:rsidR="00536224" w:rsidRDefault="00536224" w:rsidP="008D62BE"/>
    <w:p w14:paraId="15397108" w14:textId="77777777" w:rsidR="00536224" w:rsidRDefault="00536224" w:rsidP="008D62BE"/>
    <w:p w14:paraId="0592CE5C" w14:textId="0039DD4D" w:rsidR="00FF3619" w:rsidRDefault="00FF3619" w:rsidP="00FF3619">
      <w:pPr>
        <w:rPr>
          <w:rFonts w:cs="Arial"/>
        </w:rPr>
      </w:pPr>
      <w:r w:rsidRPr="2D653748">
        <w:rPr>
          <w:rFonts w:cs="Arial"/>
        </w:rPr>
        <w:t>Rahandusministeerium on saatnud Justiits- ja Digiministeeriumile kooskõlastamiseks a</w:t>
      </w:r>
      <w:r w:rsidRPr="2D653748">
        <w:rPr>
          <w:rFonts w:eastAsia="Calibri" w:cs="Arial"/>
        </w:rPr>
        <w:t xml:space="preserve">valiku teenistuse seaduse ja teiste seaduste muutmise seaduse eelnõu </w:t>
      </w:r>
      <w:r w:rsidRPr="2D653748">
        <w:rPr>
          <w:rFonts w:cs="Arial"/>
        </w:rPr>
        <w:t>(</w:t>
      </w:r>
      <w:r w:rsidRPr="2D653748">
        <w:rPr>
          <w:rFonts w:cs="Arial"/>
          <w:i/>
        </w:rPr>
        <w:t>eelnõu</w:t>
      </w:r>
      <w:r w:rsidRPr="2D653748">
        <w:rPr>
          <w:rFonts w:cs="Arial"/>
        </w:rPr>
        <w:t xml:space="preserve">). </w:t>
      </w:r>
      <w:r>
        <w:rPr>
          <w:rFonts w:cs="Arial"/>
        </w:rPr>
        <w:t xml:space="preserve">Justiits- ja Digiministeerium kooskõlastab eelnõu järgmiste põhimõtteliste ja muude märkustega. </w:t>
      </w:r>
    </w:p>
    <w:p w14:paraId="0A0F5E5F" w14:textId="77777777" w:rsidR="00FF3619" w:rsidRDefault="00FF3619" w:rsidP="00FF3619">
      <w:pPr>
        <w:rPr>
          <w:rFonts w:cs="Arial"/>
        </w:rPr>
      </w:pPr>
    </w:p>
    <w:p w14:paraId="72E97DBD" w14:textId="77777777" w:rsidR="00FF3619" w:rsidRPr="00B831CF" w:rsidRDefault="00FF3619" w:rsidP="00FF3619">
      <w:pPr>
        <w:jc w:val="both"/>
        <w:rPr>
          <w:rFonts w:cs="Arial"/>
          <w:b/>
          <w:u w:val="single"/>
        </w:rPr>
      </w:pPr>
      <w:r w:rsidRPr="00B831CF">
        <w:rPr>
          <w:rFonts w:cs="Arial"/>
          <w:b/>
          <w:u w:val="single"/>
        </w:rPr>
        <w:t>Põhimõttelised märkused</w:t>
      </w:r>
    </w:p>
    <w:p w14:paraId="0289B8B8" w14:textId="77777777" w:rsidR="00FF3619" w:rsidRDefault="00FF3619" w:rsidP="00FF3619">
      <w:pPr>
        <w:jc w:val="both"/>
        <w:rPr>
          <w:rFonts w:cs="Arial"/>
          <w:bCs/>
        </w:rPr>
      </w:pPr>
    </w:p>
    <w:p w14:paraId="12CC16DA" w14:textId="77777777" w:rsidR="00D96D07" w:rsidRPr="002D7A96" w:rsidRDefault="00D96D07" w:rsidP="00D96D07">
      <w:pPr>
        <w:pStyle w:val="NoSpacing"/>
        <w:numPr>
          <w:ilvl w:val="0"/>
          <w:numId w:val="1"/>
        </w:numPr>
        <w:jc w:val="both"/>
        <w:rPr>
          <w:rFonts w:ascii="Arial" w:hAnsi="Arial" w:cs="Arial"/>
          <w:b/>
          <w:bCs/>
          <w:sz w:val="20"/>
          <w:szCs w:val="20"/>
        </w:rPr>
      </w:pPr>
      <w:bookmarkStart w:id="1" w:name="_Hlk162200832"/>
      <w:bookmarkStart w:id="2" w:name="_Hlk74086716"/>
      <w:r>
        <w:rPr>
          <w:rFonts w:ascii="Arial" w:hAnsi="Arial" w:cs="Arial"/>
          <w:b/>
          <w:bCs/>
          <w:sz w:val="20"/>
          <w:szCs w:val="20"/>
        </w:rPr>
        <w:t xml:space="preserve">Teha eelnõuga täiendavalt tööd, et oleks </w:t>
      </w:r>
      <w:r w:rsidRPr="00F02AEA">
        <w:rPr>
          <w:rFonts w:ascii="Arial" w:hAnsi="Arial" w:cs="Arial"/>
          <w:b/>
          <w:bCs/>
          <w:sz w:val="20"/>
          <w:szCs w:val="20"/>
        </w:rPr>
        <w:t>arusaadav, millis</w:t>
      </w:r>
      <w:r>
        <w:rPr>
          <w:rFonts w:ascii="Arial" w:hAnsi="Arial" w:cs="Arial"/>
          <w:b/>
          <w:bCs/>
          <w:sz w:val="20"/>
          <w:szCs w:val="20"/>
        </w:rPr>
        <w:t>eid</w:t>
      </w:r>
      <w:r w:rsidRPr="00F02AEA">
        <w:rPr>
          <w:rFonts w:ascii="Arial" w:hAnsi="Arial" w:cs="Arial"/>
          <w:b/>
          <w:bCs/>
          <w:sz w:val="20"/>
          <w:szCs w:val="20"/>
        </w:rPr>
        <w:t xml:space="preserve"> </w:t>
      </w:r>
      <w:r>
        <w:rPr>
          <w:rFonts w:ascii="Arial" w:hAnsi="Arial" w:cs="Arial"/>
          <w:b/>
          <w:bCs/>
          <w:sz w:val="20"/>
          <w:szCs w:val="20"/>
        </w:rPr>
        <w:t xml:space="preserve">konkreetseid </w:t>
      </w:r>
      <w:r w:rsidRPr="00F02AEA">
        <w:rPr>
          <w:rFonts w:ascii="Arial" w:hAnsi="Arial" w:cs="Arial"/>
          <w:b/>
          <w:bCs/>
          <w:sz w:val="20"/>
          <w:szCs w:val="20"/>
        </w:rPr>
        <w:t>praktikas tõusetunud probleem</w:t>
      </w:r>
      <w:r>
        <w:rPr>
          <w:rFonts w:ascii="Arial" w:hAnsi="Arial" w:cs="Arial"/>
          <w:b/>
          <w:bCs/>
          <w:sz w:val="20"/>
          <w:szCs w:val="20"/>
        </w:rPr>
        <w:t>e käesolevate muudatustega</w:t>
      </w:r>
      <w:r w:rsidRPr="00F02AEA">
        <w:rPr>
          <w:rFonts w:ascii="Arial" w:hAnsi="Arial" w:cs="Arial"/>
          <w:b/>
          <w:bCs/>
          <w:sz w:val="20"/>
          <w:szCs w:val="20"/>
        </w:rPr>
        <w:t xml:space="preserve"> lahenda</w:t>
      </w:r>
      <w:r>
        <w:rPr>
          <w:rFonts w:ascii="Arial" w:hAnsi="Arial" w:cs="Arial"/>
          <w:b/>
          <w:bCs/>
          <w:sz w:val="20"/>
          <w:szCs w:val="20"/>
        </w:rPr>
        <w:t>takse</w:t>
      </w:r>
    </w:p>
    <w:p w14:paraId="3A9565E3" w14:textId="77777777" w:rsidR="00D96D07" w:rsidRDefault="00D96D07" w:rsidP="00D96D07">
      <w:pPr>
        <w:jc w:val="both"/>
        <w:rPr>
          <w:rFonts w:cs="Arial"/>
          <w:b/>
          <w:bCs/>
        </w:rPr>
      </w:pPr>
    </w:p>
    <w:bookmarkEnd w:id="1"/>
    <w:bookmarkEnd w:id="2"/>
    <w:p w14:paraId="711D0F80" w14:textId="77777777" w:rsidR="00FA264C" w:rsidRPr="00210EB8" w:rsidRDefault="00FA264C" w:rsidP="00FA264C">
      <w:pPr>
        <w:ind w:left="360"/>
        <w:jc w:val="both"/>
        <w:rPr>
          <w:rFonts w:cs="Arial"/>
          <w:u w:val="single"/>
        </w:rPr>
      </w:pPr>
      <w:r>
        <w:rPr>
          <w:rFonts w:cs="Arial"/>
          <w:u w:val="single"/>
        </w:rPr>
        <w:t xml:space="preserve">1.1. </w:t>
      </w:r>
      <w:r w:rsidRPr="00210EB8">
        <w:rPr>
          <w:rFonts w:cs="Arial"/>
          <w:u w:val="single"/>
        </w:rPr>
        <w:t>Mida olulisema muutuse toob kaasa muudatus regulatsioonis, seda veenvamat õigustust see vajab</w:t>
      </w:r>
    </w:p>
    <w:p w14:paraId="02E891D2" w14:textId="77777777" w:rsidR="00FA264C" w:rsidRDefault="00FA264C" w:rsidP="00FA264C">
      <w:pPr>
        <w:ind w:left="360"/>
        <w:jc w:val="both"/>
        <w:rPr>
          <w:rFonts w:cs="Arial"/>
        </w:rPr>
      </w:pPr>
    </w:p>
    <w:p w14:paraId="2F2EE38E" w14:textId="77777777" w:rsidR="00FA264C" w:rsidRPr="00F02AEA" w:rsidRDefault="00FA264C" w:rsidP="00FA264C">
      <w:pPr>
        <w:ind w:left="360"/>
        <w:jc w:val="both"/>
        <w:rPr>
          <w:rFonts w:cs="Arial"/>
          <w:bCs/>
        </w:rPr>
      </w:pPr>
      <w:r>
        <w:rPr>
          <w:rFonts w:cs="Arial"/>
        </w:rPr>
        <w:t>Märkus käib eriti nende muudatuste kohta, mis mõjutavad kogu ATS aluseks olevaid põhiseadusest tulenevaid avaliku teenistuse printsiipe, sh eeskätt on taolisteks muudatusteks teenistussuhte tähtajatuse oluline piiramine (</w:t>
      </w:r>
      <w:r w:rsidRPr="00173228">
        <w:rPr>
          <w:rFonts w:cs="Arial"/>
        </w:rPr>
        <w:t>eelnõu § 1 p 12</w:t>
      </w:r>
      <w:r>
        <w:rPr>
          <w:rFonts w:cs="Arial"/>
        </w:rPr>
        <w:t xml:space="preserve">, märkus nr 2), lihtne vabastamine mittelaabumise motiivil </w:t>
      </w:r>
      <w:r w:rsidRPr="00F02AEA">
        <w:rPr>
          <w:rFonts w:cs="Arial"/>
        </w:rPr>
        <w:t>(</w:t>
      </w:r>
      <w:r w:rsidRPr="00F02AEA">
        <w:rPr>
          <w:bCs/>
        </w:rPr>
        <w:t>eelnõu § 1 p 41</w:t>
      </w:r>
      <w:r>
        <w:rPr>
          <w:bCs/>
        </w:rPr>
        <w:t>, märkus nr 3</w:t>
      </w:r>
      <w:r w:rsidRPr="00F02AEA">
        <w:rPr>
          <w:rFonts w:cs="Arial"/>
          <w:bCs/>
        </w:rPr>
        <w:t>) ning värbamine ilma konkursita (</w:t>
      </w:r>
      <w:r w:rsidRPr="00F02AEA">
        <w:rPr>
          <w:bCs/>
        </w:rPr>
        <w:t xml:space="preserve">eelnõu § </w:t>
      </w:r>
      <w:r>
        <w:rPr>
          <w:bCs/>
        </w:rPr>
        <w:t xml:space="preserve">1 </w:t>
      </w:r>
      <w:r w:rsidRPr="00F02AEA">
        <w:rPr>
          <w:bCs/>
        </w:rPr>
        <w:t>p 28</w:t>
      </w:r>
      <w:r>
        <w:rPr>
          <w:bCs/>
        </w:rPr>
        <w:t>, märkus nr 4</w:t>
      </w:r>
      <w:r w:rsidRPr="00F02AEA">
        <w:rPr>
          <w:rFonts w:cs="Arial"/>
          <w:bCs/>
        </w:rPr>
        <w:t xml:space="preserve">). </w:t>
      </w:r>
    </w:p>
    <w:p w14:paraId="34DC9641" w14:textId="77777777" w:rsidR="00FA264C" w:rsidRPr="00F02AEA" w:rsidRDefault="00FA264C" w:rsidP="00FA264C">
      <w:pPr>
        <w:ind w:left="360"/>
        <w:jc w:val="both"/>
        <w:rPr>
          <w:rFonts w:cs="Arial"/>
          <w:bCs/>
        </w:rPr>
      </w:pPr>
    </w:p>
    <w:p w14:paraId="0D7D1A07" w14:textId="77777777" w:rsidR="00FA264C" w:rsidRPr="00F02AEA" w:rsidRDefault="00FA264C" w:rsidP="00FA264C">
      <w:pPr>
        <w:ind w:left="360"/>
        <w:jc w:val="both"/>
        <w:rPr>
          <w:rFonts w:cs="Arial"/>
        </w:rPr>
      </w:pPr>
      <w:r w:rsidRPr="00F02AEA">
        <w:rPr>
          <w:rFonts w:cs="Arial"/>
        </w:rPr>
        <w:t>Riigi tuumikülesandeid ellu viiva ametnikkonna garantii hõlmab ametniku kogu isiksust (ka tema vabal ajal) hõlmavate kohustuste kehtestamist, mistõttu on koos ametniku staatusega kehtestatud täna juba mitmeid olulisi piiranguid (</w:t>
      </w:r>
      <w:r w:rsidRPr="00F02AEA">
        <w:rPr>
          <w:rFonts w:cs="Arial"/>
          <w:bCs/>
        </w:rPr>
        <w:t>nt arvamusvabaduse piiramine, tegevuspiirangud, streigikeeld jne)</w:t>
      </w:r>
      <w:r w:rsidRPr="00F02AEA">
        <w:rPr>
          <w:rFonts w:cs="Arial"/>
        </w:rPr>
        <w:t>. Neid ametniku rolliga kaasnevaid piiranguid tuleb põhiseadusest tulenevalt ka avaliku teenistuse põhimõttena</w:t>
      </w:r>
      <w:r w:rsidRPr="00A63E1F">
        <w:rPr>
          <w:rFonts w:cs="Arial"/>
        </w:rPr>
        <w:t xml:space="preserve"> </w:t>
      </w:r>
      <w:r w:rsidRPr="00F02AEA">
        <w:rPr>
          <w:rFonts w:cs="Arial"/>
        </w:rPr>
        <w:t>tasakaalustada</w:t>
      </w:r>
      <w:r>
        <w:rPr>
          <w:rFonts w:cs="Arial"/>
        </w:rPr>
        <w:t xml:space="preserve"> ja kompenseerida</w:t>
      </w:r>
      <w:r w:rsidRPr="00F02AEA">
        <w:rPr>
          <w:rFonts w:cs="Arial"/>
        </w:rPr>
        <w:t>, mis erine</w:t>
      </w:r>
      <w:r>
        <w:rPr>
          <w:rFonts w:cs="Arial"/>
        </w:rPr>
        <w:t>b</w:t>
      </w:r>
      <w:r w:rsidRPr="00F02AEA">
        <w:rPr>
          <w:rFonts w:cs="Arial"/>
        </w:rPr>
        <w:t xml:space="preserve"> töölepingulises suhtes ette nähtud õigustest ja hüvedest.</w:t>
      </w:r>
      <w:r w:rsidRPr="00F02AEA">
        <w:rPr>
          <w:rStyle w:val="FootnoteReference"/>
          <w:rFonts w:cs="Arial"/>
        </w:rPr>
        <w:footnoteReference w:id="1"/>
      </w:r>
      <w:r w:rsidRPr="00F02AEA">
        <w:rPr>
          <w:rFonts w:cs="Arial"/>
        </w:rPr>
        <w:t xml:space="preserve"> </w:t>
      </w:r>
      <w:r w:rsidRPr="00467F26">
        <w:rPr>
          <w:rFonts w:cs="Arial"/>
          <w:u w:val="single"/>
        </w:rPr>
        <w:t>Mitmed eelnõuga tehtavad muudatused töötavad eelnimetatud piirangu</w:t>
      </w:r>
      <w:r>
        <w:rPr>
          <w:rFonts w:cs="Arial"/>
          <w:u w:val="single"/>
        </w:rPr>
        <w:t>te</w:t>
      </w:r>
      <w:r w:rsidRPr="00467F26">
        <w:rPr>
          <w:rFonts w:cs="Arial"/>
          <w:u w:val="single"/>
        </w:rPr>
        <w:t xml:space="preserve"> tasakaalustamise vajadusele vastupidises suunas.</w:t>
      </w:r>
    </w:p>
    <w:p w14:paraId="135C2CED" w14:textId="77777777" w:rsidR="00FA264C" w:rsidRPr="00F02AEA" w:rsidRDefault="00FA264C" w:rsidP="00FA264C">
      <w:pPr>
        <w:jc w:val="both"/>
        <w:rPr>
          <w:rFonts w:cs="Arial"/>
        </w:rPr>
      </w:pPr>
    </w:p>
    <w:p w14:paraId="52344448" w14:textId="77777777" w:rsidR="00FA264C" w:rsidRPr="00F02AEA" w:rsidRDefault="00FA264C" w:rsidP="00FA264C">
      <w:pPr>
        <w:ind w:left="360"/>
        <w:jc w:val="both"/>
        <w:rPr>
          <w:rFonts w:cs="Arial"/>
        </w:rPr>
      </w:pPr>
      <w:r w:rsidRPr="00F02AEA">
        <w:rPr>
          <w:rFonts w:cs="Arial"/>
        </w:rPr>
        <w:t>Tõusetunud praktiliste probleemide lahendamisel ja ametnikusuhte seaduslikul kujundamisel tuleb silmas pidada, et ametiasutuse kui tööandja sekkumisruum põhiõigustesse on tunduvalt ulatuslikum kui töötajate puhul. Iga ametnik peab juhinduma vahetu ja kõrgemalseisva juhi mistahes seadusega kooskõlas olevatest teenistusalastest juhistest ja korraldustest, samuti ametijuhendist (teenistuslik alluvus</w:t>
      </w:r>
      <w:r>
        <w:rPr>
          <w:rFonts w:cs="Arial"/>
        </w:rPr>
        <w:t>, vt ATS § 51 lg 3</w:t>
      </w:r>
      <w:r w:rsidRPr="00F02AEA">
        <w:rPr>
          <w:rFonts w:cs="Arial"/>
        </w:rPr>
        <w:t>). Sisuliselt saab ametniku vabastada seepärast, et ta on jätnud täitmata talle antud korralduse. Samas tööandjatele niivõrd laia sekkumisruumi ette nähtud ei ole</w:t>
      </w:r>
      <w:r>
        <w:rPr>
          <w:rFonts w:cs="Arial"/>
        </w:rPr>
        <w:t>, sest</w:t>
      </w:r>
      <w:r w:rsidRPr="00F02AEA">
        <w:rPr>
          <w:rFonts w:cs="Arial"/>
        </w:rPr>
        <w:t xml:space="preserve"> töötaja peab lihtsalt ära tegema kokku lepitud töö.</w:t>
      </w:r>
    </w:p>
    <w:p w14:paraId="3A2C633C" w14:textId="77777777" w:rsidR="00FA264C" w:rsidRDefault="00FA264C" w:rsidP="00FA264C">
      <w:pPr>
        <w:jc w:val="both"/>
        <w:rPr>
          <w:rFonts w:cs="Arial"/>
        </w:rPr>
      </w:pPr>
    </w:p>
    <w:p w14:paraId="53E7CFE9" w14:textId="77777777" w:rsidR="00FA264C" w:rsidRPr="00457C84" w:rsidRDefault="00FA264C" w:rsidP="00FA264C">
      <w:pPr>
        <w:ind w:left="360"/>
        <w:jc w:val="both"/>
        <w:rPr>
          <w:rFonts w:cs="Arial"/>
        </w:rPr>
      </w:pPr>
      <w:r w:rsidRPr="00937B50">
        <w:rPr>
          <w:rFonts w:cs="Arial"/>
        </w:rPr>
        <w:t>Õigusaktide muutmine on põhjendatud olukorras, kus lahendatakse praktikas tõusetunud probleeme, mida praktika suunamise või muutmisega ei ole võimalik lahendada.</w:t>
      </w:r>
    </w:p>
    <w:p w14:paraId="7F1FF2AF" w14:textId="77777777" w:rsidR="00FA264C" w:rsidRDefault="00FA264C" w:rsidP="00FA264C">
      <w:pPr>
        <w:ind w:left="360"/>
        <w:jc w:val="both"/>
        <w:rPr>
          <w:rFonts w:cs="Arial"/>
        </w:rPr>
      </w:pPr>
    </w:p>
    <w:p w14:paraId="07AE2A00" w14:textId="77777777" w:rsidR="00FA264C" w:rsidRPr="00086FA4" w:rsidRDefault="00FA264C" w:rsidP="00FA264C">
      <w:pPr>
        <w:ind w:left="360"/>
        <w:jc w:val="both"/>
        <w:rPr>
          <w:rFonts w:cs="Arial"/>
          <w:highlight w:val="yellow"/>
        </w:rPr>
      </w:pPr>
      <w:r w:rsidRPr="00DB041A">
        <w:rPr>
          <w:rFonts w:cs="Arial"/>
        </w:rPr>
        <w:lastRenderedPageBreak/>
        <w:t>ATS § 9 kohaselt juhib Ra</w:t>
      </w:r>
      <w:r>
        <w:rPr>
          <w:rFonts w:cs="Arial"/>
        </w:rPr>
        <w:t>handusministeerium</w:t>
      </w:r>
      <w:r w:rsidRPr="00DB041A">
        <w:rPr>
          <w:rFonts w:cs="Arial"/>
        </w:rPr>
        <w:t xml:space="preserve"> avaliku teenistuse arendamist, sh analüüsib rakendamise praktikat ja nõustab neis küsimustes ametiasutusi. Kui praktikas siiski on tõusetunud probleeme</w:t>
      </w:r>
      <w:r>
        <w:rPr>
          <w:rFonts w:cs="Arial"/>
        </w:rPr>
        <w:t xml:space="preserve">, </w:t>
      </w:r>
      <w:r w:rsidRPr="00DB041A">
        <w:rPr>
          <w:rFonts w:cs="Arial"/>
        </w:rPr>
        <w:t>on võimalik Ra</w:t>
      </w:r>
      <w:r>
        <w:rPr>
          <w:rFonts w:cs="Arial"/>
        </w:rPr>
        <w:t>handusministeerium</w:t>
      </w:r>
      <w:r w:rsidRPr="00DB041A">
        <w:rPr>
          <w:rFonts w:cs="Arial"/>
        </w:rPr>
        <w:t xml:space="preserve">il </w:t>
      </w:r>
      <w:r>
        <w:rPr>
          <w:rFonts w:cs="Arial"/>
        </w:rPr>
        <w:t xml:space="preserve">avaliku teenistuse arendajana </w:t>
      </w:r>
      <w:r w:rsidRPr="00DB041A">
        <w:rPr>
          <w:rFonts w:cs="Arial"/>
        </w:rPr>
        <w:t>suunata praktikat (koostades juhiseid, nõustades) või kaaluda ATSis konkreetsete ja päriselust võrsuvate muudatuste tegemist</w:t>
      </w:r>
      <w:r>
        <w:rPr>
          <w:rFonts w:cs="Arial"/>
        </w:rPr>
        <w:t>.</w:t>
      </w:r>
      <w:r w:rsidRPr="00DB041A">
        <w:rPr>
          <w:rFonts w:cs="Arial"/>
        </w:rPr>
        <w:t xml:space="preserve"> </w:t>
      </w:r>
      <w:r w:rsidRPr="002B0CEA">
        <w:rPr>
          <w:rFonts w:cs="Arial"/>
        </w:rPr>
        <w:t>Seega kui on kohti, kus regulatsioon on selge, kuid praktikas kohaldatakse seadust ebakorrektselt, saaks Rahandusministeerium praktikat suunata.</w:t>
      </w:r>
      <w:r>
        <w:rPr>
          <w:rFonts w:cs="Arial"/>
        </w:rPr>
        <w:t xml:space="preserve"> </w:t>
      </w:r>
    </w:p>
    <w:p w14:paraId="3F8DF062" w14:textId="77777777" w:rsidR="00FA264C" w:rsidRDefault="00FA264C" w:rsidP="00FA264C">
      <w:pPr>
        <w:ind w:left="360"/>
        <w:jc w:val="both"/>
        <w:rPr>
          <w:rFonts w:cs="Arial"/>
        </w:rPr>
      </w:pPr>
    </w:p>
    <w:p w14:paraId="434BA3C9" w14:textId="77777777" w:rsidR="00FA264C" w:rsidRDefault="00FA264C" w:rsidP="00FA264C">
      <w:pPr>
        <w:ind w:left="360"/>
        <w:jc w:val="both"/>
        <w:rPr>
          <w:rFonts w:cs="Arial"/>
        </w:rPr>
      </w:pPr>
      <w:r>
        <w:rPr>
          <w:rFonts w:cs="Arial"/>
        </w:rPr>
        <w:t>Kooskõlastamisele esitatud eelnõus on üksikuid praktikas tõusetunud probleemidest kerkinud muudatusettepanekuid. Valdavalt on eelnõus ettepanekud praegu toimiva avaliku teenistuse regulatsiooni muutmiseks (liikumine ameti- ja töökohtade vahel, ATSi laiendamine töötajatele), mille tagajärjel hägustub veelgi enam vahetegu ametnike ja töötajate vahel ehk liigutakse tagasi 1995. a ATSi suunas, kus kõik, kes töötasid ametiasutuses (v.a abiteenistujad), olid avalikud teenistujad ning neile kohaldus samasugune regulatsioon. Erinevus oleks vaid selles, et kui nö vana ATSi puhul olid kõik ametiasutuses tööl olevad isikud ametnikud ja neile kohaldus ühesugune regulatsioon, siis eelnõus välja pakutud kujul ei ole selge, mis kellele kohaldub ehk regulatsioon hägustub.</w:t>
      </w:r>
    </w:p>
    <w:p w14:paraId="47D73B19" w14:textId="77777777" w:rsidR="00FA264C" w:rsidRDefault="00FA264C" w:rsidP="00FA264C">
      <w:pPr>
        <w:ind w:left="360"/>
        <w:jc w:val="both"/>
        <w:rPr>
          <w:rFonts w:cs="Arial"/>
        </w:rPr>
      </w:pPr>
    </w:p>
    <w:p w14:paraId="27030932" w14:textId="77777777" w:rsidR="00FA264C" w:rsidRDefault="00FA264C" w:rsidP="00FA264C">
      <w:pPr>
        <w:ind w:left="360"/>
        <w:jc w:val="both"/>
        <w:rPr>
          <w:rFonts w:cs="Arial"/>
        </w:rPr>
      </w:pPr>
      <w:r>
        <w:rPr>
          <w:rFonts w:cs="Arial"/>
        </w:rPr>
        <w:t>Eelnõuga vähendatakse ametnike üksikuid veel alles jäänud hüvesid - näiteks koondamisest etteteatamisel avaliku teenistuse staaži arvestamine ja ületunnitöö hüvitamisel esmase valikuna 1,5-kordse põhipalga maksmine. Lisaks vähendatakse olulisel määral ametniku teenistussuhte ühte olulisemat väärtust ehk ametniku ametikohakindlust võimaldades ametniku vabastada koostöö mittelaabumisel.</w:t>
      </w:r>
      <w:r w:rsidRPr="00824FB3">
        <w:rPr>
          <w:rFonts w:cs="Arial"/>
        </w:rPr>
        <w:t xml:space="preserve"> </w:t>
      </w:r>
    </w:p>
    <w:p w14:paraId="3A849835" w14:textId="77777777" w:rsidR="00FA264C" w:rsidRDefault="00FA264C" w:rsidP="00FA264C">
      <w:pPr>
        <w:ind w:left="360"/>
        <w:jc w:val="both"/>
        <w:rPr>
          <w:rFonts w:cs="Arial"/>
        </w:rPr>
      </w:pPr>
    </w:p>
    <w:p w14:paraId="0BD00951" w14:textId="77777777" w:rsidR="00FA264C" w:rsidRDefault="00FA264C" w:rsidP="00FA264C">
      <w:pPr>
        <w:ind w:left="360"/>
        <w:jc w:val="both"/>
        <w:rPr>
          <w:rFonts w:cs="Arial"/>
        </w:rPr>
      </w:pPr>
      <w:r>
        <w:rPr>
          <w:rFonts w:cs="Arial"/>
        </w:rPr>
        <w:t>Lisaks ei ole jälgitav, millist praktikas tõusetunud probleemi lahendab keskastme juhtidele tähtaegse teenistussuhte kehtestamine.</w:t>
      </w:r>
    </w:p>
    <w:p w14:paraId="470216A8" w14:textId="77777777" w:rsidR="00FA264C" w:rsidRDefault="00FA264C" w:rsidP="00FA264C">
      <w:pPr>
        <w:jc w:val="both"/>
        <w:rPr>
          <w:rFonts w:cs="Arial"/>
        </w:rPr>
      </w:pPr>
    </w:p>
    <w:p w14:paraId="362C07A5" w14:textId="77777777" w:rsidR="00FA264C" w:rsidRPr="002E192B" w:rsidRDefault="00FA264C" w:rsidP="00BA4CE9">
      <w:pPr>
        <w:pStyle w:val="ListParagraph"/>
        <w:numPr>
          <w:ilvl w:val="0"/>
          <w:numId w:val="0"/>
        </w:numPr>
        <w:ind w:left="360"/>
        <w:rPr>
          <w:u w:val="single"/>
        </w:rPr>
      </w:pPr>
      <w:r>
        <w:rPr>
          <w:u w:val="single"/>
        </w:rPr>
        <w:t xml:space="preserve">1.2. </w:t>
      </w:r>
      <w:r w:rsidRPr="002E192B">
        <w:rPr>
          <w:u w:val="single"/>
        </w:rPr>
        <w:t>Eelnõus pakutud lahendused ei vasta algatajate endi seatud eesmärkidele</w:t>
      </w:r>
    </w:p>
    <w:p w14:paraId="522E0BE6" w14:textId="77777777" w:rsidR="00FA264C" w:rsidRDefault="00FA264C" w:rsidP="00FA264C">
      <w:pPr>
        <w:jc w:val="both"/>
        <w:rPr>
          <w:rFonts w:cs="Arial"/>
        </w:rPr>
      </w:pPr>
    </w:p>
    <w:p w14:paraId="4B8B50EB" w14:textId="77777777" w:rsidR="00FA264C" w:rsidRDefault="00FA264C" w:rsidP="00FA264C">
      <w:pPr>
        <w:ind w:left="360"/>
        <w:jc w:val="both"/>
        <w:rPr>
          <w:rFonts w:cs="Arial"/>
        </w:rPr>
      </w:pPr>
      <w:r>
        <w:rPr>
          <w:rFonts w:cs="Arial"/>
        </w:rPr>
        <w:t>Eelnõu seletuskirjas on eelnõu eesmärkidena välja toodud selge ja toimiv õigusruum, avaliku teenistuse kohanemis- ja konkurentsivõimelisuse parandamine ning riigi ressursside otstarbekale kasutamisele</w:t>
      </w:r>
      <w:r w:rsidRPr="001E068F">
        <w:rPr>
          <w:rFonts w:cs="Arial"/>
        </w:rPr>
        <w:t xml:space="preserve"> </w:t>
      </w:r>
      <w:r>
        <w:rPr>
          <w:rFonts w:cs="Arial"/>
        </w:rPr>
        <w:t>kaasa aitamine. Lisatud on, et ajal, mil riik peab tulema toime kasvava survega avaliku sektori kulutustele, on eriti tähtis parandada riigi rahanduse kvaliteeti (seletuskiri lk 1). Saame nõustuda, et oluline on nii selge ja toimiv õigusruum, riigi ressursside parem kasutamine kui ka kohanemis- ja konkurentsivõimelisuse parandamine. Eelnõus pakutud lahendused aga neid seatud eesmärke ei täida.</w:t>
      </w:r>
    </w:p>
    <w:p w14:paraId="3AAC2375" w14:textId="77777777" w:rsidR="00FA264C" w:rsidRDefault="00FA264C" w:rsidP="00FA264C">
      <w:pPr>
        <w:ind w:left="360"/>
        <w:jc w:val="both"/>
        <w:rPr>
          <w:rFonts w:cs="Arial"/>
        </w:rPr>
      </w:pPr>
    </w:p>
    <w:p w14:paraId="78D92268" w14:textId="77777777" w:rsidR="00FA264C" w:rsidRPr="00120EE1" w:rsidRDefault="00FA264C" w:rsidP="00FA264C">
      <w:pPr>
        <w:ind w:left="360"/>
        <w:jc w:val="both"/>
        <w:rPr>
          <w:rFonts w:cs="Arial"/>
          <w:u w:val="single"/>
        </w:rPr>
      </w:pPr>
      <w:r>
        <w:rPr>
          <w:rFonts w:cs="Arial"/>
          <w:u w:val="single"/>
        </w:rPr>
        <w:t xml:space="preserve">1.3. </w:t>
      </w:r>
      <w:r w:rsidRPr="00120EE1">
        <w:rPr>
          <w:rFonts w:cs="Arial"/>
          <w:u w:val="single"/>
        </w:rPr>
        <w:t>Puuduvad argumendid ATS-i aluspõhimõtete</w:t>
      </w:r>
      <w:r>
        <w:rPr>
          <w:rFonts w:cs="Arial"/>
          <w:u w:val="single"/>
        </w:rPr>
        <w:t xml:space="preserve"> muutmiseks või kaotamiseks</w:t>
      </w:r>
    </w:p>
    <w:p w14:paraId="3D09E6FE" w14:textId="77777777" w:rsidR="00FA264C" w:rsidRDefault="00FA264C" w:rsidP="00FA264C">
      <w:pPr>
        <w:ind w:left="720"/>
        <w:jc w:val="both"/>
        <w:rPr>
          <w:rFonts w:cs="Arial"/>
        </w:rPr>
      </w:pPr>
    </w:p>
    <w:p w14:paraId="3FEF77D0" w14:textId="77777777" w:rsidR="00FA264C" w:rsidRPr="00DD3250" w:rsidRDefault="00FA264C" w:rsidP="00FA264C">
      <w:pPr>
        <w:ind w:left="360"/>
        <w:jc w:val="both"/>
        <w:rPr>
          <w:rFonts w:cs="Arial"/>
          <w:bCs/>
        </w:rPr>
      </w:pPr>
      <w:r>
        <w:rPr>
          <w:rFonts w:cs="Arial"/>
        </w:rPr>
        <w:t>ATS jõustus 2013</w:t>
      </w:r>
      <w:r>
        <w:t>. aastal</w:t>
      </w:r>
      <w:r>
        <w:rPr>
          <w:rFonts w:cs="Arial"/>
        </w:rPr>
        <w:t xml:space="preserve">. Tegemist on selge ja hästi toimiva regulatsiooniga, mis on kehtinud veidi üle 10 aasta ning mis kohaldub ametnikele ja üksikutes küsimustes ametiasutuse töötajatele. Tugeva ja selge õigusruumi loomine avalikus teenistuses on olnud otseselt </w:t>
      </w:r>
      <w:r>
        <w:t xml:space="preserve">2013. aastast kehtinud </w:t>
      </w:r>
      <w:r>
        <w:rPr>
          <w:rFonts w:cs="Arial"/>
        </w:rPr>
        <w:t>ATSi positiivne tulemus. Selgelt on eristatud ametnikke ja töötajaid ehk neid, kes teostavad avalikku võimu</w:t>
      </w:r>
      <w:r>
        <w:t>,</w:t>
      </w:r>
      <w:r>
        <w:rPr>
          <w:rFonts w:cs="Arial"/>
        </w:rPr>
        <w:t xml:space="preserve"> ja neid, kes avalikku võimu ei teosta. Tulenevalt avaliku võimu teostamise õigusest on põhjendatud kehtestada ka ametnikele kõrgemad nõuded, streigikeeld ja tegevuspiirangud, samuti kohustus avalikustada ametnike palgad. Kehtestatud piirangud on proportsionaalsed ja põhjendatud. </w:t>
      </w:r>
      <w:r>
        <w:t xml:space="preserve">2013. aasta </w:t>
      </w:r>
      <w:r>
        <w:rPr>
          <w:rFonts w:cs="Arial"/>
        </w:rPr>
        <w:t>ATSi koostamisel tehti teadlik valik selles osas, et töötajate tööle võtmine on lihtne, allub tööõiguse reeglitele, töötajatele ei ole põhjendatud kehtestada rangeid nõudeid</w:t>
      </w:r>
      <w:r>
        <w:t xml:space="preserve"> ega</w:t>
      </w:r>
      <w:r>
        <w:rPr>
          <w:rFonts w:cs="Arial"/>
        </w:rPr>
        <w:t xml:space="preserve"> ette näha piiranguid</w:t>
      </w:r>
      <w:r>
        <w:t>,</w:t>
      </w:r>
      <w:r>
        <w:rPr>
          <w:rFonts w:cs="Arial"/>
        </w:rPr>
        <w:t xml:space="preserve"> kuna töötajad toetavad avaliku võimu teostamist ametiasutuses, mitte ei teosta ise avalikku võimu.</w:t>
      </w:r>
      <w:r w:rsidRPr="00DD3250">
        <w:rPr>
          <w:rFonts w:cs="Arial"/>
          <w:bCs/>
        </w:rPr>
        <w:t xml:space="preserve"> Kui töötajate töösuhe ühtlustada enamikes küsimustes ametnike teenistussuhtega, on ka töötajate piirangud pea samaväärsed ametnike omadega, kuigi töötajad ei teosta avalikku võimu</w:t>
      </w:r>
      <w:r>
        <w:rPr>
          <w:bCs/>
        </w:rPr>
        <w:t>.</w:t>
      </w:r>
      <w:r w:rsidRPr="00DD3250">
        <w:rPr>
          <w:rFonts w:cs="Arial"/>
          <w:bCs/>
        </w:rPr>
        <w:t xml:space="preserve"> </w:t>
      </w:r>
      <w:r>
        <w:rPr>
          <w:bCs/>
        </w:rPr>
        <w:t>S</w:t>
      </w:r>
      <w:r w:rsidRPr="00DD3250">
        <w:rPr>
          <w:rFonts w:cs="Arial"/>
          <w:bCs/>
        </w:rPr>
        <w:t xml:space="preserve">eetõttu ei pruugi piirangud </w:t>
      </w:r>
      <w:r>
        <w:rPr>
          <w:bCs/>
        </w:rPr>
        <w:t xml:space="preserve">olla </w:t>
      </w:r>
      <w:r w:rsidRPr="00DD3250">
        <w:rPr>
          <w:rFonts w:cs="Arial"/>
          <w:bCs/>
        </w:rPr>
        <w:t xml:space="preserve">proportsionaalsed ja põhjendatud. Selline ametnike ja töötajate regulatsiooni ühtlustamine on ajas tagasiminek, sest 1995. a ATSis olid kõik avalikud teenistujad, kes töötasid ametiasutuses </w:t>
      </w:r>
      <w:r>
        <w:rPr>
          <w:bCs/>
        </w:rPr>
        <w:t xml:space="preserve">olenemata sellest, milliseid ülesandeid nad täitsid. </w:t>
      </w:r>
      <w:r>
        <w:rPr>
          <w:rFonts w:cs="Arial"/>
          <w:bCs/>
        </w:rPr>
        <w:t xml:space="preserve">Eelnõuga liigutakse tagasi vana ATSi suunas (seda küll oluliselt õigusselgusetumal viisil kui oli vana ATSi puhul), kus olenemata sellest, milliseid ülesandeid isikud täidavad, kohaldatakse ametnikele neile kohalduvaid sätteid, sh piiranguid. Seega jääb ebaselgeks, kas Rahandusministeeriumil on soov suurendada ametnike arvu ja viia kõik ametiasutustes töötavad isikud taas ühtse regulatsiooni alla. </w:t>
      </w:r>
      <w:r w:rsidRPr="00DD3250">
        <w:rPr>
          <w:rFonts w:cs="Arial"/>
          <w:bCs/>
        </w:rPr>
        <w:t>2013.</w:t>
      </w:r>
      <w:r>
        <w:rPr>
          <w:rFonts w:cs="Arial"/>
          <w:bCs/>
        </w:rPr>
        <w:t xml:space="preserve"> </w:t>
      </w:r>
      <w:r w:rsidRPr="00DD3250">
        <w:rPr>
          <w:rFonts w:cs="Arial"/>
          <w:bCs/>
        </w:rPr>
        <w:t xml:space="preserve">a ATSi eesmärk oli selgelt eristada </w:t>
      </w:r>
      <w:r>
        <w:rPr>
          <w:bCs/>
        </w:rPr>
        <w:t xml:space="preserve">ühelt poolt </w:t>
      </w:r>
      <w:r w:rsidRPr="00DD3250">
        <w:rPr>
          <w:rFonts w:cs="Arial"/>
          <w:bCs/>
        </w:rPr>
        <w:t xml:space="preserve">neid, kes teostavad avalikku võimu ehk ametnikke, seada neile suuremad piirangud, näha ette rangemad </w:t>
      </w:r>
      <w:r w:rsidRPr="00DD3250">
        <w:rPr>
          <w:rFonts w:cs="Arial"/>
          <w:bCs/>
        </w:rPr>
        <w:lastRenderedPageBreak/>
        <w:t>nõuded ja suuremad ootused</w:t>
      </w:r>
      <w:r>
        <w:rPr>
          <w:bCs/>
        </w:rPr>
        <w:t>,</w:t>
      </w:r>
      <w:r w:rsidRPr="00DD3250">
        <w:rPr>
          <w:rFonts w:cs="Arial"/>
          <w:bCs/>
        </w:rPr>
        <w:t xml:space="preserve"> ning </w:t>
      </w:r>
      <w:r>
        <w:rPr>
          <w:bCs/>
        </w:rPr>
        <w:t xml:space="preserve">teiselt poolt </w:t>
      </w:r>
      <w:r w:rsidRPr="00DD3250">
        <w:rPr>
          <w:rFonts w:cs="Arial"/>
          <w:bCs/>
        </w:rPr>
        <w:t>töötajaid, kelle puhul ei ole põhjendatud piirangute seadmine sellisel kujul.</w:t>
      </w:r>
    </w:p>
    <w:p w14:paraId="60D442B9" w14:textId="77777777" w:rsidR="00FA264C" w:rsidRDefault="00FA264C" w:rsidP="00FA264C">
      <w:pPr>
        <w:ind w:left="720"/>
        <w:jc w:val="both"/>
        <w:rPr>
          <w:rFonts w:cs="Arial"/>
        </w:rPr>
      </w:pPr>
    </w:p>
    <w:p w14:paraId="4A109D15" w14:textId="77777777" w:rsidR="00FA264C" w:rsidRPr="00121D52" w:rsidRDefault="00FA264C" w:rsidP="00FA264C">
      <w:pPr>
        <w:ind w:left="360"/>
        <w:jc w:val="both"/>
        <w:rPr>
          <w:rFonts w:cs="Arial"/>
        </w:rPr>
      </w:pPr>
      <w:r>
        <w:t>V</w:t>
      </w:r>
      <w:r>
        <w:rPr>
          <w:rFonts w:cs="Arial"/>
        </w:rPr>
        <w:t xml:space="preserve">astupidiselt seatud eesmärkidele </w:t>
      </w:r>
      <w:r>
        <w:t xml:space="preserve">kahjustab eelnõu </w:t>
      </w:r>
      <w:r>
        <w:rPr>
          <w:rFonts w:cs="Arial"/>
        </w:rPr>
        <w:t>eelkirjeldatud selget ja toimivat õigusruumi. Kooskõlastamisele esitatud eelnõus on seni toiminud süsteemi olulisel määral muudetud</w:t>
      </w:r>
      <w:r>
        <w:t>,</w:t>
      </w:r>
      <w:r>
        <w:rPr>
          <w:rFonts w:cs="Arial"/>
        </w:rPr>
        <w:t xml:space="preserve"> ühtlustades regulatsioone ametnike ja töötajate vahel vaatamata sellele, et tegemist ei ole võrreldavate isikute gruppidega. Eelnõus on bürokraatiat </w:t>
      </w:r>
      <w:r w:rsidRPr="00121D52">
        <w:rPr>
          <w:rFonts w:cs="Arial"/>
        </w:rPr>
        <w:t>suurendatud (nt keskastme</w:t>
      </w:r>
      <w:r>
        <w:rPr>
          <w:rFonts w:cs="Arial"/>
        </w:rPr>
        <w:t xml:space="preserve"> juhtide tähtaegsus), paindlikkust vähendatud (nt ametnike palgakorralduse laiendamine töötajatele) ning riigi rahalisi ressursse puudutavas osas tehtud ettepanekuid, mis ei pruugi olla kooskõlas ressursside kokkuhoidmise eesmärkidega (nt võimalus maksta lahkumishüvitist, maksta suuremat muutuvpalka).</w:t>
      </w:r>
    </w:p>
    <w:p w14:paraId="7A66FB5A" w14:textId="77777777" w:rsidR="00FA264C" w:rsidRPr="00DD3250" w:rsidRDefault="00FA264C" w:rsidP="00FA264C">
      <w:pPr>
        <w:jc w:val="both"/>
        <w:rPr>
          <w:rFonts w:cs="Arial"/>
        </w:rPr>
      </w:pPr>
    </w:p>
    <w:p w14:paraId="5BC5ABE5" w14:textId="77777777" w:rsidR="00FA264C" w:rsidRPr="00F02AEA" w:rsidRDefault="00FA264C" w:rsidP="00FA264C">
      <w:pPr>
        <w:pStyle w:val="ListParagraph"/>
        <w:rPr>
          <w:b/>
        </w:rPr>
      </w:pPr>
      <w:r w:rsidRPr="00F02AEA">
        <w:rPr>
          <w:b/>
        </w:rPr>
        <w:t>Jätta välja ametnike teenistussuhte tähtajaliseks muutmi</w:t>
      </w:r>
      <w:r>
        <w:rPr>
          <w:b/>
        </w:rPr>
        <w:t xml:space="preserve">ne või </w:t>
      </w:r>
      <w:r w:rsidRPr="00DD711D">
        <w:rPr>
          <w:b/>
        </w:rPr>
        <w:t xml:space="preserve"> piirduda</w:t>
      </w:r>
      <w:r w:rsidRPr="00F02AEA">
        <w:rPr>
          <w:b/>
        </w:rPr>
        <w:t xml:space="preserve"> teenistussuhete tähtajaliseks muutmisel vaid koalitsioonileppes nimetatud töölepingutega. Ametnike teenistussuhte muutmine tähtajaliseks ei ole põhjendatud (eelnõu § 1 p 12)</w:t>
      </w:r>
    </w:p>
    <w:p w14:paraId="4960684D" w14:textId="77777777" w:rsidR="00FA264C" w:rsidRDefault="00FA264C" w:rsidP="00FA264C">
      <w:pPr>
        <w:pStyle w:val="ListParagraph"/>
        <w:numPr>
          <w:ilvl w:val="0"/>
          <w:numId w:val="0"/>
        </w:numPr>
        <w:ind w:left="360"/>
        <w:rPr>
          <w:bCs/>
        </w:rPr>
      </w:pPr>
    </w:p>
    <w:p w14:paraId="128E3255" w14:textId="47113741" w:rsidR="00FA264C" w:rsidRPr="004703B4" w:rsidRDefault="00FA264C" w:rsidP="00FA264C">
      <w:pPr>
        <w:ind w:left="360"/>
        <w:jc w:val="both"/>
        <w:rPr>
          <w:u w:val="single"/>
        </w:rPr>
      </w:pPr>
      <w:r>
        <w:rPr>
          <w:u w:val="single"/>
        </w:rPr>
        <w:t xml:space="preserve">2.1. </w:t>
      </w:r>
      <w:r w:rsidRPr="004703B4">
        <w:rPr>
          <w:u w:val="single"/>
        </w:rPr>
        <w:t>Tähtaja</w:t>
      </w:r>
      <w:r w:rsidR="005A2491">
        <w:rPr>
          <w:u w:val="single"/>
        </w:rPr>
        <w:t xml:space="preserve">lisus </w:t>
      </w:r>
      <w:r w:rsidRPr="004703B4">
        <w:rPr>
          <w:u w:val="single"/>
        </w:rPr>
        <w:t>kahjustab usaldussuhet</w:t>
      </w:r>
    </w:p>
    <w:p w14:paraId="742DB0FB" w14:textId="77777777" w:rsidR="00FA264C" w:rsidRDefault="00FA264C" w:rsidP="00FA264C">
      <w:pPr>
        <w:ind w:left="360"/>
        <w:jc w:val="both"/>
      </w:pPr>
    </w:p>
    <w:p w14:paraId="17EB7FAD" w14:textId="77777777" w:rsidR="00FA264C" w:rsidRDefault="00FA264C" w:rsidP="00FA264C">
      <w:pPr>
        <w:ind w:left="360"/>
        <w:jc w:val="both"/>
      </w:pPr>
      <w:r>
        <w:t>Selleks, et tagada riigi tuumikülesannete põhiseaduspärane täitmine, tuleb tagada, et ametnikkond oleks riigiga (või vastavalt kohaliku omavalitsusega) avalik-õiguslikus teenistus- ja</w:t>
      </w:r>
    </w:p>
    <w:p w14:paraId="408DD84E" w14:textId="77777777" w:rsidR="00FA264C" w:rsidRPr="006144C0" w:rsidRDefault="00FA264C" w:rsidP="00FA264C">
      <w:pPr>
        <w:ind w:left="360"/>
        <w:jc w:val="both"/>
        <w:rPr>
          <w:u w:val="single"/>
        </w:rPr>
      </w:pPr>
      <w:r>
        <w:t>ustavussuhtes.</w:t>
      </w:r>
      <w:r>
        <w:rPr>
          <w:rStyle w:val="FootnoteReference"/>
        </w:rPr>
        <w:footnoteReference w:id="2"/>
      </w:r>
      <w:r>
        <w:t xml:space="preserve"> </w:t>
      </w:r>
      <w:r w:rsidRPr="007A4FE1">
        <w:rPr>
          <w:u w:val="single"/>
        </w:rPr>
        <w:t>Seda suhet kahjustaks olukord, kus ametniku teenistussuhe lõpetatakse automaatselt viie aasta järel, kuna sel juhul ei kaitseks seadus enam ametniku usaldust teenistussuhte jätkumise vastu.</w:t>
      </w:r>
      <w:r w:rsidRPr="006144C0">
        <w:rPr>
          <w:u w:val="single"/>
        </w:rPr>
        <w:t xml:space="preserve"> </w:t>
      </w:r>
      <w:r w:rsidRPr="006144C0">
        <w:t>Eesti avalikku teenistust kujundanud aluspõhimõtteks on nimelt ametnike teenistus- ja usaldussuhte tähtajatus.</w:t>
      </w:r>
      <w:r>
        <w:rPr>
          <w:rStyle w:val="FootnoteReference"/>
        </w:rPr>
        <w:footnoteReference w:id="3"/>
      </w:r>
      <w:r>
        <w:t xml:space="preserve"> Üldiselt on tähtajatus universaalne printsiip</w:t>
      </w:r>
      <w:r w:rsidRPr="003A6F17">
        <w:t xml:space="preserve"> </w:t>
      </w:r>
      <w:r>
        <w:t>kogu kaasaegses tööõiguses.</w:t>
      </w:r>
    </w:p>
    <w:p w14:paraId="1CAFF49E" w14:textId="77777777" w:rsidR="00FA264C" w:rsidRPr="00C94C29" w:rsidRDefault="00FA264C" w:rsidP="00FA264C">
      <w:pPr>
        <w:rPr>
          <w:bCs/>
        </w:rPr>
      </w:pPr>
    </w:p>
    <w:p w14:paraId="2548016E" w14:textId="77777777" w:rsidR="00FA264C" w:rsidRPr="00F02AEA" w:rsidRDefault="00FA264C" w:rsidP="00DF696A">
      <w:pPr>
        <w:pStyle w:val="ListParagraph"/>
        <w:numPr>
          <w:ilvl w:val="0"/>
          <w:numId w:val="0"/>
        </w:numPr>
        <w:ind w:left="360"/>
        <w:rPr>
          <w:bCs/>
        </w:rPr>
      </w:pPr>
      <w:r w:rsidRPr="00F02AEA">
        <w:rPr>
          <w:bCs/>
        </w:rPr>
        <w:t xml:space="preserve">Vabariigi Valitsuse tegevusprogrammi p 10.1.11 (tähtajalisus) </w:t>
      </w:r>
      <w:r w:rsidRPr="00412922">
        <w:rPr>
          <w:bCs/>
        </w:rPr>
        <w:t>(p 14)</w:t>
      </w:r>
      <w:r w:rsidRPr="00F02AEA">
        <w:rPr>
          <w:bCs/>
        </w:rPr>
        <w:t xml:space="preserve"> näeb ette eesmärgi: „Kehtestame kantslerite ja asekantslerite maksimaalseks ametiaja pikkuseks kahekordse ametiaja ning muudame osakonnajuhatajate lepingud tähtajaliseks."</w:t>
      </w:r>
      <w:r w:rsidRPr="00D531B3">
        <w:rPr>
          <w:b/>
        </w:rPr>
        <w:t xml:space="preserve"> </w:t>
      </w:r>
      <w:r w:rsidRPr="00F02AEA">
        <w:rPr>
          <w:bCs/>
        </w:rPr>
        <w:t>Koalitsioonileppe 2025-2027</w:t>
      </w:r>
      <w:r w:rsidRPr="00F02AEA">
        <w:rPr>
          <w:rStyle w:val="FootnoteReference"/>
          <w:bCs/>
        </w:rPr>
        <w:footnoteReference w:id="4"/>
      </w:r>
      <w:r w:rsidRPr="00F02AEA">
        <w:rPr>
          <w:bCs/>
        </w:rPr>
        <w:t xml:space="preserve"> p 312 näeb ette eesmärgi: „Ühtlustame ametnikele ja ametiasutuse töötajatele esitatavad nõuded, muutes avaliku teenistuse seadust (näiteks palga avalikustamise ja teenistusaja tähtajalisuse kehtestamine keskastme juhtidele)“</w:t>
      </w:r>
      <w:r>
        <w:rPr>
          <w:bCs/>
        </w:rPr>
        <w:t>.</w:t>
      </w:r>
    </w:p>
    <w:p w14:paraId="566B9CFF" w14:textId="77777777" w:rsidR="00FA264C" w:rsidRPr="004A7CF4" w:rsidRDefault="00FA264C" w:rsidP="00FA264C">
      <w:pPr>
        <w:pStyle w:val="ListParagraph"/>
        <w:numPr>
          <w:ilvl w:val="0"/>
          <w:numId w:val="0"/>
        </w:numPr>
        <w:ind w:left="360"/>
      </w:pPr>
    </w:p>
    <w:p w14:paraId="7972B9C6" w14:textId="77777777" w:rsidR="00FA264C" w:rsidRDefault="00FA264C" w:rsidP="00FA264C">
      <w:pPr>
        <w:ind w:left="360"/>
        <w:jc w:val="both"/>
      </w:pPr>
      <w:r>
        <w:t>Kuivõrd täna ei ole ametnikel ega töötajatele kehtestatud teenistustele tähtaega, siis ei ole tegemist ka mingis mõttes ühtlustamist vajava nõude või muu küsimusega. Seega on eelnõus pakutud muudatus koalitsioonileppes mainitud näite ebaõnnestunud sisustamine. Mõeldav oleks mõnd praegust erandlikku tähtajalist ametnikusuhet paralleelina tuues (vt ATS § 23 lg 2) ametiasutuses töölepingute muutmine samuti tähtajaliseks, kuid kõikide juhtimisülesannete sisaldavate ametnike ja töötajate tähtajaliseks muutmine ei ole põhjendatud.</w:t>
      </w:r>
    </w:p>
    <w:p w14:paraId="414DEAA6" w14:textId="77777777" w:rsidR="00FA264C" w:rsidRPr="00937B50" w:rsidRDefault="00FA264C" w:rsidP="00FA264C">
      <w:pPr>
        <w:ind w:left="360"/>
        <w:jc w:val="both"/>
        <w:rPr>
          <w:rFonts w:cs="Arial"/>
          <w:b/>
          <w:bCs/>
        </w:rPr>
      </w:pPr>
    </w:p>
    <w:p w14:paraId="652FB6BF" w14:textId="77777777" w:rsidR="00FA264C" w:rsidRPr="00A314A7" w:rsidRDefault="00FA264C" w:rsidP="00FA264C">
      <w:pPr>
        <w:ind w:left="360"/>
        <w:jc w:val="both"/>
        <w:rPr>
          <w:rFonts w:cs="Arial"/>
        </w:rPr>
      </w:pPr>
      <w:r>
        <w:rPr>
          <w:rFonts w:cs="Arial"/>
        </w:rPr>
        <w:t>Eelnõuga</w:t>
      </w:r>
      <w:r w:rsidRPr="002C245F">
        <w:rPr>
          <w:rFonts w:cs="Arial"/>
        </w:rPr>
        <w:t xml:space="preserve"> soovitakse VVTP-st tulenevat ettepanekut</w:t>
      </w:r>
      <w:r>
        <w:rPr>
          <w:rFonts w:cs="Arial"/>
        </w:rPr>
        <w:t xml:space="preserve"> samas</w:t>
      </w:r>
      <w:r w:rsidRPr="002C245F">
        <w:rPr>
          <w:rFonts w:cs="Arial"/>
        </w:rPr>
        <w:t xml:space="preserve"> olulisel määral laiendada </w:t>
      </w:r>
      <w:r>
        <w:rPr>
          <w:rFonts w:cs="Arial"/>
        </w:rPr>
        <w:t>– st ministeeriumis osakonna juhid (VVS § 47 lg 1), ministeeriumi talituse ja büroo juhid (VVS § 48 lg 1) ja Riigikantselei osakonna jm struktuuriüksuste juhid (VVS § 78 lg 1)</w:t>
      </w:r>
      <w:r>
        <w:t>,</w:t>
      </w:r>
      <w:r>
        <w:rPr>
          <w:rFonts w:cs="Arial"/>
        </w:rPr>
        <w:t xml:space="preserve"> </w:t>
      </w:r>
      <w:r>
        <w:t>l</w:t>
      </w:r>
      <w:r>
        <w:rPr>
          <w:rFonts w:cs="Arial"/>
        </w:rPr>
        <w:t>isaks ametite ja inspektsioonide peadirektorile ja peadirektori asetäitjale alluvate struktuuriüksuste juhid. Eelnõus ei ole välja toodud, miks sellist tähtajalist suhet soovitakse kehtestada ametnikele olukorras, kus VVTP sõnaselgelt seab eesmärgiks töölepingute tähtajad.</w:t>
      </w:r>
    </w:p>
    <w:p w14:paraId="7282B26C" w14:textId="77777777" w:rsidR="00FA264C" w:rsidRDefault="00FA264C" w:rsidP="00FA264C">
      <w:pPr>
        <w:ind w:left="360"/>
        <w:jc w:val="both"/>
        <w:rPr>
          <w:rFonts w:cs="Arial"/>
        </w:rPr>
      </w:pPr>
    </w:p>
    <w:p w14:paraId="1B03CECD" w14:textId="77777777" w:rsidR="00FA264C" w:rsidRDefault="00FA264C" w:rsidP="00FA264C">
      <w:pPr>
        <w:ind w:left="360"/>
        <w:jc w:val="both"/>
        <w:rPr>
          <w:rFonts w:cs="Arial"/>
        </w:rPr>
      </w:pPr>
      <w:r>
        <w:rPr>
          <w:rFonts w:cs="Arial"/>
        </w:rPr>
        <w:t xml:space="preserve">Kokkuvõttes ei ole jälgitav, </w:t>
      </w:r>
      <w:r>
        <w:t xml:space="preserve">mille poolest on ametniku </w:t>
      </w:r>
      <w:r>
        <w:rPr>
          <w:rFonts w:cs="Arial"/>
        </w:rPr>
        <w:t>tähtajaline teenistussuhe kasulik või millist probleemi see lahendab.</w:t>
      </w:r>
      <w:r>
        <w:rPr>
          <w:rStyle w:val="FootnoteReference"/>
          <w:rFonts w:cs="Arial"/>
        </w:rPr>
        <w:footnoteReference w:id="5"/>
      </w:r>
      <w:r>
        <w:rPr>
          <w:rFonts w:cs="Arial"/>
        </w:rPr>
        <w:t xml:space="preserve"> Küll aga on võimalik hulgaliselt välja tuua selle muudatuse kahjulikke tagajärgi. Olukorras, kus ei ole teada, millist probleemi tähtaja</w:t>
      </w:r>
      <w:r>
        <w:t xml:space="preserve"> seadmise</w:t>
      </w:r>
      <w:r>
        <w:rPr>
          <w:rFonts w:cs="Arial"/>
        </w:rPr>
        <w:t xml:space="preserve">ga lahendatakse, ei ole </w:t>
      </w:r>
      <w:r>
        <w:t xml:space="preserve">ka </w:t>
      </w:r>
      <w:r>
        <w:rPr>
          <w:rFonts w:cs="Arial"/>
        </w:rPr>
        <w:t>võimalik hinnata, ka</w:t>
      </w:r>
      <w:r>
        <w:t>s</w:t>
      </w:r>
      <w:r>
        <w:rPr>
          <w:rFonts w:cs="Arial"/>
        </w:rPr>
        <w:t xml:space="preserve"> pakutud lahendus</w:t>
      </w:r>
      <w:r>
        <w:t xml:space="preserve"> seda muret leevendab</w:t>
      </w:r>
      <w:r>
        <w:rPr>
          <w:rFonts w:cs="Arial"/>
        </w:rPr>
        <w:t xml:space="preserve">, sh kas tähtaeg on üldse vajalik, või on see liiga lühike või liiga pikk jne. Samuti ei ole võimalik hinnata, kas valitud sihtrühm on põhjendatud või tuleks seda kitsendada või laiendada, sh hõlmata tähtajalisse teenistussuhtesse </w:t>
      </w:r>
      <w:r>
        <w:rPr>
          <w:rFonts w:cs="Arial"/>
        </w:rPr>
        <w:lastRenderedPageBreak/>
        <w:t xml:space="preserve">kõik ametnikud jne. Ilma piisavalt kaaluka mõistliku põhjuseta mistahes põhiõiguste piirangute kehtestamine on põhiseadusvastane. </w:t>
      </w:r>
    </w:p>
    <w:p w14:paraId="7C2141CC" w14:textId="77777777" w:rsidR="00FA264C" w:rsidRPr="00412922" w:rsidRDefault="00FA264C" w:rsidP="00FA264C">
      <w:pPr>
        <w:ind w:left="360"/>
        <w:jc w:val="both"/>
        <w:rPr>
          <w:rFonts w:cs="Arial"/>
        </w:rPr>
      </w:pPr>
    </w:p>
    <w:p w14:paraId="22E61936" w14:textId="77777777" w:rsidR="00FA264C" w:rsidRDefault="00FA264C" w:rsidP="00FA264C">
      <w:pPr>
        <w:ind w:left="360"/>
        <w:jc w:val="both"/>
        <w:rPr>
          <w:rFonts w:cs="Arial"/>
        </w:rPr>
      </w:pPr>
      <w:r w:rsidRPr="00E9543A">
        <w:rPr>
          <w:rFonts w:cs="Arial"/>
        </w:rPr>
        <w:t xml:space="preserve">Juhime tähelepanu, et kehtiva ATS-i üldine põhimõte on, et ametnik nimetatakse ametikohale määramata ajaks ning ametnik täidab ülesandeid, mis on püsiva iseloomuga. Ametnik peab lähtuma avalikest huvidest, olema sõltumatu oma teenistusülesannete täitmisel ja otsuste tegemisel ning selle sõltumatuse tagamise üheks mehhanismiks on ametniku määramine ametikohale määramata ajaks. </w:t>
      </w:r>
      <w:r w:rsidRPr="003E0109">
        <w:rPr>
          <w:rFonts w:cs="Arial"/>
          <w:u w:val="single"/>
        </w:rPr>
        <w:t>Mida rohkem on ametnik kindel oma õiguslikus positsioonis, seda enam on garanteeritud, et ta teeb otsuseid kallutamatult ja ainult seadusest ja õiguse üldpõhimõtetest lähtuvalt.</w:t>
      </w:r>
      <w:r w:rsidRPr="00C94C29">
        <w:rPr>
          <w:rFonts w:cs="Arial"/>
        </w:rPr>
        <w:t xml:space="preserve"> </w:t>
      </w:r>
      <w:r w:rsidRPr="00E9543A">
        <w:rPr>
          <w:rFonts w:cs="Arial"/>
        </w:rPr>
        <w:t>Määramata ajaks ametikohale nimetamise reeglist on lubatud teha erandeid ainult üksikutel põhjendatud juhtudel, mis on nimetatud ATS §-s 23. Samuti on erandiks ATS § 33 ehk ametniku tähtajaline üleviimine. ATS</w:t>
      </w:r>
      <w:r>
        <w:noBreakHyphen/>
        <w:t>i</w:t>
      </w:r>
      <w:r w:rsidRPr="00E9543A">
        <w:rPr>
          <w:rFonts w:cs="Arial"/>
        </w:rPr>
        <w:t xml:space="preserve"> eelnõu koostamisel lähtuti põhimõttest, et tippjuhtidele (riigisekretär, kantsler, asekantsler, Riigikantselei direktor, valitsusasutuse juht) on ette nähtud teistsugune värbamise ja valiku kord ning tähtajaline (viieaastane) teenistussuhe. Osakonnajuhatajad ja muud struktuuriüksuste juhid ei ole ATS-i mõttes tippjuhid ehk nende puhul kehtib teenistusse võtmisel ATS-i üldine regulatsioon ja nad võetakse teenistusse määramata ajaks.</w:t>
      </w:r>
    </w:p>
    <w:p w14:paraId="7061E7E2" w14:textId="77777777" w:rsidR="00FA264C" w:rsidRDefault="00FA264C" w:rsidP="00FA264C">
      <w:pPr>
        <w:ind w:left="360"/>
        <w:jc w:val="both"/>
        <w:rPr>
          <w:rFonts w:cs="Arial"/>
        </w:rPr>
      </w:pPr>
    </w:p>
    <w:p w14:paraId="7709BCF0" w14:textId="77777777" w:rsidR="00FA264C" w:rsidRDefault="00FA264C" w:rsidP="00FA264C">
      <w:pPr>
        <w:ind w:left="360"/>
        <w:jc w:val="both"/>
        <w:rPr>
          <w:rFonts w:cs="Arial"/>
        </w:rPr>
      </w:pPr>
      <w:r w:rsidRPr="00F02AEA">
        <w:rPr>
          <w:rFonts w:cs="Arial"/>
        </w:rPr>
        <w:t>Eeltoodust tulen</w:t>
      </w:r>
      <w:r w:rsidRPr="00F02AEA">
        <w:t>e</w:t>
      </w:r>
      <w:r w:rsidRPr="00F02AEA">
        <w:rPr>
          <w:rFonts w:cs="Arial"/>
        </w:rPr>
        <w:t>valt teeme ettepaneku jääda VVTP-s seatud eesmärgi juurde</w:t>
      </w:r>
      <w:r w:rsidRPr="00F02AEA">
        <w:t>,</w:t>
      </w:r>
      <w:r w:rsidRPr="00F02AEA">
        <w:rPr>
          <w:rFonts w:cs="Arial"/>
        </w:rPr>
        <w:t xml:space="preserve"> muutes tähtajaliseks </w:t>
      </w:r>
      <w:r w:rsidRPr="00F02AEA">
        <w:t xml:space="preserve">üksnes </w:t>
      </w:r>
      <w:r w:rsidRPr="00F02AEA">
        <w:rPr>
          <w:rFonts w:cs="Arial"/>
        </w:rPr>
        <w:t>osakonnajuhatajate töölepingud või loobuda muudatusest tervikuna.</w:t>
      </w:r>
    </w:p>
    <w:p w14:paraId="4BA23C7F" w14:textId="77777777" w:rsidR="00FA264C" w:rsidRDefault="00FA264C" w:rsidP="00FA264C">
      <w:pPr>
        <w:pStyle w:val="ListParagraph"/>
        <w:numPr>
          <w:ilvl w:val="0"/>
          <w:numId w:val="0"/>
        </w:numPr>
        <w:ind w:left="360"/>
      </w:pPr>
    </w:p>
    <w:p w14:paraId="29F7B0F9" w14:textId="77777777" w:rsidR="00FA264C" w:rsidRDefault="00FA264C" w:rsidP="00FA264C">
      <w:pPr>
        <w:ind w:left="360"/>
        <w:jc w:val="both"/>
        <w:rPr>
          <w:rFonts w:cs="Arial"/>
        </w:rPr>
      </w:pPr>
      <w:r>
        <w:rPr>
          <w:rFonts w:cs="Arial"/>
        </w:rPr>
        <w:t>J</w:t>
      </w:r>
      <w:r w:rsidRPr="002C245F">
        <w:rPr>
          <w:rFonts w:cs="Arial"/>
        </w:rPr>
        <w:t xml:space="preserve">uhul kui tähtajalisust </w:t>
      </w:r>
      <w:r>
        <w:rPr>
          <w:rFonts w:cs="Arial"/>
        </w:rPr>
        <w:t xml:space="preserve">tahetakse </w:t>
      </w:r>
      <w:r w:rsidRPr="002C245F">
        <w:rPr>
          <w:rFonts w:cs="Arial"/>
        </w:rPr>
        <w:t>laiendada</w:t>
      </w:r>
      <w:r w:rsidRPr="002C245F">
        <w:t xml:space="preserve"> </w:t>
      </w:r>
      <w:r w:rsidRPr="002C245F">
        <w:rPr>
          <w:rFonts w:cs="Arial"/>
        </w:rPr>
        <w:t xml:space="preserve">kõikidele struktuuriüksuste juhtidele </w:t>
      </w:r>
      <w:r>
        <w:rPr>
          <w:rFonts w:cs="Arial"/>
        </w:rPr>
        <w:t>ja asi ühetaoliselt reguleerida kõikides ametiasutustes</w:t>
      </w:r>
      <w:r>
        <w:t>,</w:t>
      </w:r>
      <w:r w:rsidRPr="002C245F">
        <w:rPr>
          <w:rFonts w:cs="Arial"/>
        </w:rPr>
        <w:t xml:space="preserve"> lähtud</w:t>
      </w:r>
      <w:r>
        <w:rPr>
          <w:rFonts w:cs="Arial"/>
        </w:rPr>
        <w:t>es</w:t>
      </w:r>
      <w:r w:rsidRPr="002C245F">
        <w:rPr>
          <w:rFonts w:cs="Arial"/>
        </w:rPr>
        <w:t xml:space="preserve"> ATS §</w:t>
      </w:r>
      <w:r>
        <w:rPr>
          <w:rFonts w:cs="Arial"/>
        </w:rPr>
        <w:t>-s</w:t>
      </w:r>
      <w:r w:rsidRPr="002C245F">
        <w:rPr>
          <w:rFonts w:cs="Arial"/>
        </w:rPr>
        <w:t xml:space="preserve"> 6 toodud ametiasutuse mõistest</w:t>
      </w:r>
      <w:r>
        <w:rPr>
          <w:rFonts w:cs="Arial"/>
        </w:rPr>
        <w:t>, tuleks</w:t>
      </w:r>
      <w:r w:rsidRPr="002C245F">
        <w:rPr>
          <w:rFonts w:cs="Arial"/>
        </w:rPr>
        <w:t xml:space="preserve"> tähtajaline teenistussuhe kehtesta</w:t>
      </w:r>
      <w:r>
        <w:rPr>
          <w:rFonts w:cs="Arial"/>
        </w:rPr>
        <w:t>da</w:t>
      </w:r>
      <w:r w:rsidRPr="002C245F">
        <w:rPr>
          <w:rFonts w:cs="Arial"/>
        </w:rPr>
        <w:t xml:space="preserve"> lisaks valitsusasutustele ka nt Riigikogu, Vabariigi Presidendi, Õiguskantsleri kantseleides ja kohtutes.</w:t>
      </w:r>
      <w:r>
        <w:rPr>
          <w:rFonts w:cs="Arial"/>
        </w:rPr>
        <w:t xml:space="preserve"> Jättes osa ametnikke uuest piirangust välja, tegemist sarnast avaliku võimu teostamise funktsiooni täitvate ametnike ebavõrse kohtlemisega (PS § 12).</w:t>
      </w:r>
    </w:p>
    <w:p w14:paraId="1E4D1C52" w14:textId="77777777" w:rsidR="00FA264C" w:rsidRPr="002C245F" w:rsidRDefault="00FA264C" w:rsidP="00FA264C">
      <w:pPr>
        <w:ind w:left="360"/>
        <w:jc w:val="both"/>
        <w:rPr>
          <w:rFonts w:cs="Arial"/>
        </w:rPr>
      </w:pPr>
    </w:p>
    <w:p w14:paraId="0F4443CB" w14:textId="77777777" w:rsidR="00FA264C" w:rsidRPr="00077930" w:rsidRDefault="00FA264C" w:rsidP="00FA264C">
      <w:pPr>
        <w:ind w:left="360"/>
        <w:jc w:val="both"/>
        <w:rPr>
          <w:rFonts w:cs="Arial"/>
          <w:u w:val="single"/>
        </w:rPr>
      </w:pPr>
      <w:r>
        <w:rPr>
          <w:rFonts w:cs="Arial"/>
          <w:u w:val="single"/>
        </w:rPr>
        <w:t xml:space="preserve">2.2. </w:t>
      </w:r>
      <w:r w:rsidRPr="00077930">
        <w:rPr>
          <w:rFonts w:cs="Arial"/>
          <w:u w:val="single"/>
        </w:rPr>
        <w:t>Tähtajalisusega kaasneb vaidlus ka hüvitise maksmiseks ennetähtaegse lõpetamise korral</w:t>
      </w:r>
    </w:p>
    <w:p w14:paraId="48E97998" w14:textId="77777777" w:rsidR="00FA264C" w:rsidRDefault="00FA264C" w:rsidP="00FA264C">
      <w:pPr>
        <w:ind w:left="360"/>
        <w:jc w:val="both"/>
        <w:rPr>
          <w:rFonts w:cs="Arial"/>
        </w:rPr>
      </w:pPr>
    </w:p>
    <w:p w14:paraId="3FEA948F" w14:textId="77777777" w:rsidR="00FA264C" w:rsidRDefault="00FA264C" w:rsidP="00FA264C">
      <w:pPr>
        <w:ind w:left="360"/>
        <w:jc w:val="both"/>
      </w:pPr>
      <w:r>
        <w:t xml:space="preserve">Arvestada tuleb, et kui on tegemist tähtajaliste töölepingutega, siis tuleb lähtuda põhimõttest, et tähtaegse töösuhte erakorralisel lõpetamisel maksab tööandja töötajale hüvitist ulatuses, mis vastab töötasule, mida töötajal oleks olnud õigus saada lepingu tähtaja saabumiseni (TLS § 100 lõikest 3 – tähtajalise töölepingu ülesütlemisel majanduslikul põhjusel, välja arvatud TLS § 89 lõike 2 punktis 2 nimetatud põhjustel). Hüvitist ei maksta vaid juhul, kui tööleping öeldakse üles vääramatu jõu tõttu. Eeltoodud tagajärjed töölepingu lõpetamisel on ka arusaadavad, sest töösuhte tähtajalisuse näol on tegemist tööeluga seoses olulise põhiõiguste piiramisega. Seejuures võivad aga makstavad hüvitised muutuda oluliseks koormaks riigieelarvele (eriti kui hüvitist saama õigustatud isikute ring ametnike näol suureneks). Seega, kui eelnõuga soovitakse ametnikele ja töötajatele kohalduvaid regulatsioone ühtlustada, tuleb kindlasti hüvitis ette näha ka tähtajalise teenistussuhtega ametnikele, kes vabastatakse enne tähtaja saabumist (praegu näeb ATS ette hüvitise vaid kantsleri vabastamisel). Vastasel korral </w:t>
      </w:r>
      <w:r w:rsidRPr="003E0109">
        <w:t>oleks tegemist</w:t>
      </w:r>
      <w:r w:rsidRPr="003E0109">
        <w:rPr>
          <w:u w:val="single"/>
        </w:rPr>
        <w:t xml:space="preserve"> ametnike positsiooni ebamõistliku kahjustamisega võrreldes töötajatega ning see ebavõrdne kohtlemine (PS §12) toob kaasa praktikas suure tõenäosusega uusi vaidlusi.</w:t>
      </w:r>
      <w:r>
        <w:t xml:space="preserve"> Eelnõu § 1 p 19 nähakse ette, et ametiasutuse töötajatele ei kohaldata TLS § 100 lõiget 3. Seega halveneb ka tähtajaliste töötajate positsioon. </w:t>
      </w:r>
    </w:p>
    <w:p w14:paraId="255211B6" w14:textId="77777777" w:rsidR="00FA264C" w:rsidRDefault="00FA264C" w:rsidP="00FA264C">
      <w:pPr>
        <w:jc w:val="both"/>
        <w:rPr>
          <w:rFonts w:cs="Arial"/>
        </w:rPr>
      </w:pPr>
    </w:p>
    <w:p w14:paraId="587E2BD6" w14:textId="77777777" w:rsidR="00FA264C" w:rsidRDefault="00FA264C" w:rsidP="00FA264C">
      <w:pPr>
        <w:ind w:left="360"/>
        <w:jc w:val="both"/>
        <w:rPr>
          <w:rFonts w:cs="Arial"/>
        </w:rPr>
      </w:pPr>
      <w:r w:rsidRPr="00937B50">
        <w:rPr>
          <w:rFonts w:cs="Arial"/>
        </w:rPr>
        <w:t>Sotsiaalministeerium on var</w:t>
      </w:r>
      <w:r>
        <w:t>em</w:t>
      </w:r>
      <w:r w:rsidRPr="00937B50">
        <w:rPr>
          <w:rFonts w:cs="Arial"/>
        </w:rPr>
        <w:t xml:space="preserve"> juhtinud tähelepanu sellele, et Euroopa Liidus reguleerib tähtajalisi töösuhteid direktiiv </w:t>
      </w:r>
      <w:hyperlink r:id="rId9" w:history="1">
        <w:r w:rsidRPr="00DD176B">
          <w:rPr>
            <w:rStyle w:val="Hyperlink"/>
            <w:rFonts w:eastAsiaTheme="majorEastAsia" w:cs="Arial"/>
          </w:rPr>
          <w:t>1999/70/EÜ</w:t>
        </w:r>
      </w:hyperlink>
      <w:r w:rsidRPr="00937B50">
        <w:rPr>
          <w:rFonts w:cs="Arial"/>
        </w:rPr>
        <w:t>. Kui direktiivi vastuvõtmise ja Eesti õigusesse ülevõtmise ajal oli arusaam, et see ei kohaldu ametnikele, siis tänaseks on see muutunud. Direktiivi klausli 3 kohaselt tähendab</w:t>
      </w:r>
      <w:r>
        <w:t xml:space="preserve"> </w:t>
      </w:r>
      <w:r w:rsidRPr="00937B50">
        <w:rPr>
          <w:rFonts w:cs="Arial"/>
        </w:rPr>
        <w:t>“tähtajaline töötaja” isikut, kellel on vahetult tööandja ja töötaja vahel sõlmitud tööleping või töösuhe, milles töölepingu või töösuhte lõpp on määratud objektiivsete tingimustega, milleks võib olla konkreetse kuupäeva saabumine, konkreetse ülesande lõpetamine või konkreetse sündmuse toimumine.</w:t>
      </w:r>
      <w:r>
        <w:rPr>
          <w:rStyle w:val="FootnoteReference"/>
          <w:rFonts w:cs="Arial"/>
        </w:rPr>
        <w:footnoteReference w:id="6"/>
      </w:r>
      <w:r w:rsidRPr="00937B50">
        <w:rPr>
          <w:rFonts w:cs="Arial"/>
        </w:rPr>
        <w:t xml:space="preserve"> Alalise ja püsiva ülesande täitmiseks tähtajaliste lepingute sõlmimine on direktiivi mõttes kuritarvitamine</w:t>
      </w:r>
      <w:r>
        <w:t xml:space="preserve">. Märgime, et </w:t>
      </w:r>
      <w:r w:rsidRPr="00937B50">
        <w:rPr>
          <w:rFonts w:cs="Arial"/>
        </w:rPr>
        <w:t xml:space="preserve">keskastmejuhi roll riigiasutustes on alaline ülesanne. </w:t>
      </w:r>
      <w:r w:rsidRPr="00937B50">
        <w:rPr>
          <w:rFonts w:cs="Arial"/>
          <w:lang w:eastAsia="et-EE"/>
        </w:rPr>
        <w:t xml:space="preserve"> </w:t>
      </w:r>
      <w:r w:rsidRPr="00937B50">
        <w:rPr>
          <w:rFonts w:cs="Arial"/>
        </w:rPr>
        <w:t xml:space="preserve">Seega, direktiivi ja kohtupraktika järgi keskastme juhte korduvalt tähtajaliselt ametisse nimetada ei saa, kuna korduvaid tähtajalisi töösuhteid ei ole lubatud rakendada alaliste ülesannete täitmiseks, selleks peaks olema objektiivne alus või mingid muud meetmed kuritarvituste vastu. Objektiivne alus ei saa </w:t>
      </w:r>
      <w:r>
        <w:rPr>
          <w:rFonts w:cs="Arial"/>
        </w:rPr>
        <w:t>olla näiteks</w:t>
      </w:r>
      <w:r w:rsidRPr="00937B50">
        <w:rPr>
          <w:rFonts w:cs="Arial"/>
        </w:rPr>
        <w:t xml:space="preserve"> </w:t>
      </w:r>
      <w:r>
        <w:rPr>
          <w:rFonts w:cs="Arial"/>
        </w:rPr>
        <w:t xml:space="preserve">vabastamise korral </w:t>
      </w:r>
      <w:r w:rsidRPr="00937B50">
        <w:rPr>
          <w:rFonts w:cs="Arial"/>
        </w:rPr>
        <w:t>võimalus töötada erinevates asutustes</w:t>
      </w:r>
      <w:r>
        <w:rPr>
          <w:rFonts w:cs="Arial"/>
        </w:rPr>
        <w:t xml:space="preserve"> vms,</w:t>
      </w:r>
      <w:r w:rsidRPr="00937B50">
        <w:rPr>
          <w:rFonts w:cs="Arial"/>
        </w:rPr>
        <w:t xml:space="preserve"> kuivõrd keskastmejuhid on valdavalt oma teema eksperdid ja ei </w:t>
      </w:r>
      <w:r>
        <w:rPr>
          <w:rFonts w:cs="Arial"/>
        </w:rPr>
        <w:t xml:space="preserve">pruugi olla põhjendatud see, et </w:t>
      </w:r>
      <w:r w:rsidRPr="00937B50">
        <w:rPr>
          <w:rFonts w:cs="Arial"/>
        </w:rPr>
        <w:lastRenderedPageBreak/>
        <w:t>ühe osakonna juhataja sobiks oma teadmistega roteeruma mis tahes muu ministeeriumi osakonna juhiks.</w:t>
      </w:r>
    </w:p>
    <w:p w14:paraId="7B649DD6" w14:textId="77777777" w:rsidR="00FA264C" w:rsidRDefault="00FA264C" w:rsidP="00FA264C">
      <w:pPr>
        <w:jc w:val="both"/>
        <w:rPr>
          <w:rFonts w:cs="Arial"/>
        </w:rPr>
      </w:pPr>
    </w:p>
    <w:p w14:paraId="5E080690" w14:textId="77777777" w:rsidR="00FA264C" w:rsidRDefault="00FA264C" w:rsidP="00FA264C">
      <w:pPr>
        <w:ind w:left="360"/>
        <w:jc w:val="both"/>
        <w:rPr>
          <w:rFonts w:cs="Arial"/>
          <w:bCs/>
          <w:u w:val="single"/>
        </w:rPr>
      </w:pPr>
      <w:r>
        <w:rPr>
          <w:rFonts w:cs="Arial"/>
          <w:bCs/>
          <w:u w:val="single"/>
        </w:rPr>
        <w:t>2.3. Muudatus tooks kaasa mitmeid negatiivseid mõjusid</w:t>
      </w:r>
    </w:p>
    <w:p w14:paraId="74F0AAD6" w14:textId="77777777" w:rsidR="00FA264C" w:rsidRPr="00FF7CA9" w:rsidRDefault="00FA264C" w:rsidP="00FA264C">
      <w:pPr>
        <w:ind w:left="360"/>
        <w:jc w:val="both"/>
        <w:rPr>
          <w:rFonts w:cs="Arial"/>
          <w:bCs/>
          <w:u w:val="single"/>
        </w:rPr>
      </w:pPr>
    </w:p>
    <w:p w14:paraId="4FD6BC7E" w14:textId="77777777" w:rsidR="00FA264C" w:rsidRDefault="00FA264C" w:rsidP="00FA264C">
      <w:pPr>
        <w:numPr>
          <w:ilvl w:val="0"/>
          <w:numId w:val="2"/>
        </w:numPr>
        <w:ind w:left="720"/>
        <w:contextualSpacing/>
        <w:jc w:val="both"/>
        <w:rPr>
          <w:rFonts w:cs="Arial"/>
          <w:bCs/>
        </w:rPr>
      </w:pPr>
      <w:r>
        <w:rPr>
          <w:bCs/>
        </w:rPr>
        <w:t>A</w:t>
      </w:r>
      <w:r>
        <w:rPr>
          <w:rFonts w:cs="Arial"/>
          <w:bCs/>
        </w:rPr>
        <w:t>metiasutustes väheneb stabiilsus, sest nii asekantsler kui ka kantsler on tähtajalised (viie aastase tähtajaga) ametnikud</w:t>
      </w:r>
      <w:r>
        <w:rPr>
          <w:bCs/>
        </w:rPr>
        <w:t>. K</w:t>
      </w:r>
      <w:r>
        <w:rPr>
          <w:rFonts w:cs="Arial"/>
          <w:bCs/>
        </w:rPr>
        <w:t>a ministrid vahetuvad aegajalt, mistõttu ongi praegu struktuuriüksuste juhid need, kes on tähtajatud ja nendega püsib stabiilsus ning ajalooline mälu ametiasutuses</w:t>
      </w:r>
      <w:r>
        <w:rPr>
          <w:bCs/>
        </w:rPr>
        <w:t xml:space="preserve">. </w:t>
      </w:r>
    </w:p>
    <w:p w14:paraId="7C0A0536" w14:textId="77777777" w:rsidR="00FA264C" w:rsidRDefault="00FA264C" w:rsidP="00FA264C">
      <w:pPr>
        <w:numPr>
          <w:ilvl w:val="0"/>
          <w:numId w:val="2"/>
        </w:numPr>
        <w:ind w:left="720"/>
        <w:contextualSpacing/>
        <w:jc w:val="both"/>
        <w:rPr>
          <w:rFonts w:cs="Arial"/>
          <w:bCs/>
        </w:rPr>
      </w:pPr>
      <w:r>
        <w:rPr>
          <w:bCs/>
        </w:rPr>
        <w:t>O</w:t>
      </w:r>
      <w:r>
        <w:rPr>
          <w:rFonts w:cs="Arial"/>
          <w:bCs/>
        </w:rPr>
        <w:t>sakonnajuhatajad ja talituste juhatajad on valdkonna juhid ehk nad tegelevad süvitsi osakonna või talituse teemadega. Iga juhi muutus võib kaasa tuua personalivoolavuse, eriti kui tegemist on vahetu juhiga</w:t>
      </w:r>
      <w:r>
        <w:rPr>
          <w:bCs/>
        </w:rPr>
        <w:t xml:space="preserve">. </w:t>
      </w:r>
    </w:p>
    <w:p w14:paraId="2776E7D9" w14:textId="77777777" w:rsidR="00FA264C" w:rsidRDefault="00FA264C" w:rsidP="00FA264C">
      <w:pPr>
        <w:numPr>
          <w:ilvl w:val="0"/>
          <w:numId w:val="2"/>
        </w:numPr>
        <w:ind w:left="720"/>
        <w:contextualSpacing/>
        <w:jc w:val="both"/>
        <w:rPr>
          <w:rFonts w:cs="Arial"/>
          <w:bCs/>
        </w:rPr>
      </w:pPr>
      <w:r>
        <w:rPr>
          <w:bCs/>
        </w:rPr>
        <w:t>K</w:t>
      </w:r>
      <w:r>
        <w:rPr>
          <w:rFonts w:cs="Arial"/>
          <w:bCs/>
        </w:rPr>
        <w:t xml:space="preserve">onkursside korraldamise arv suureneb, mis omakorda toob kaasa töökoormuse (ka praegu korraldatakse konkursse, kui struktuuriüksuste juhid lahkuvad, kuid </w:t>
      </w:r>
      <w:r>
        <w:rPr>
          <w:bCs/>
        </w:rPr>
        <w:t xml:space="preserve">eelnõu järgi </w:t>
      </w:r>
      <w:r>
        <w:rPr>
          <w:rFonts w:cs="Arial"/>
          <w:bCs/>
        </w:rPr>
        <w:t>on iga viie aasta tagant kohustus</w:t>
      </w:r>
      <w:r>
        <w:rPr>
          <w:bCs/>
        </w:rPr>
        <w:t xml:space="preserve"> konkurss korraldada</w:t>
      </w:r>
      <w:r>
        <w:rPr>
          <w:rFonts w:cs="Arial"/>
          <w:bCs/>
        </w:rPr>
        <w:t>. Praegu on siiski võimalus, et juhid püsivad ühel ametikohal kauem</w:t>
      </w:r>
      <w:r>
        <w:rPr>
          <w:bCs/>
        </w:rPr>
        <w:t xml:space="preserve">. </w:t>
      </w:r>
    </w:p>
    <w:p w14:paraId="17A933CB" w14:textId="77777777" w:rsidR="00FA264C" w:rsidRDefault="00FA264C" w:rsidP="00FA264C">
      <w:pPr>
        <w:numPr>
          <w:ilvl w:val="0"/>
          <w:numId w:val="2"/>
        </w:numPr>
        <w:ind w:left="720"/>
        <w:contextualSpacing/>
        <w:jc w:val="both"/>
        <w:rPr>
          <w:rFonts w:cs="Arial"/>
          <w:bCs/>
        </w:rPr>
      </w:pPr>
      <w:r>
        <w:rPr>
          <w:bCs/>
        </w:rPr>
        <w:t>T</w:t>
      </w:r>
      <w:r>
        <w:rPr>
          <w:rFonts w:cs="Arial"/>
          <w:bCs/>
        </w:rPr>
        <w:t>ähtajalise teenistussuhte puhul asuvad ametnikud uut ametikohta otsima enne tähtaja lõppu, mis omakorda võib vähendada motivatsiooni senisel ametikohal suuremaid muudatusi/projekte algatada või neid piisavalt motiveeritult juhtida</w:t>
      </w:r>
      <w:r>
        <w:rPr>
          <w:bCs/>
        </w:rPr>
        <w:t xml:space="preserve">. </w:t>
      </w:r>
    </w:p>
    <w:p w14:paraId="5134C2EB" w14:textId="77777777" w:rsidR="00FA264C" w:rsidRDefault="00FA264C" w:rsidP="00FA264C">
      <w:pPr>
        <w:numPr>
          <w:ilvl w:val="0"/>
          <w:numId w:val="2"/>
        </w:numPr>
        <w:ind w:left="720"/>
        <w:contextualSpacing/>
        <w:jc w:val="both"/>
        <w:rPr>
          <w:rFonts w:cs="Arial"/>
          <w:bCs/>
        </w:rPr>
      </w:pPr>
      <w:r>
        <w:rPr>
          <w:bCs/>
        </w:rPr>
        <w:t>H</w:t>
      </w:r>
      <w:r>
        <w:rPr>
          <w:rFonts w:cs="Arial"/>
          <w:bCs/>
        </w:rPr>
        <w:t>uvi nn keskastmejuhtide ametikohale kandideerida võib väheneda, sest tähtajatut teenistussuhet peetakse motiveerivamaks.</w:t>
      </w:r>
    </w:p>
    <w:p w14:paraId="702698D8" w14:textId="77777777" w:rsidR="00FA264C" w:rsidRPr="004703B4" w:rsidRDefault="00FA264C" w:rsidP="00FA264C">
      <w:pPr>
        <w:ind w:left="720"/>
        <w:contextualSpacing/>
        <w:jc w:val="both"/>
        <w:rPr>
          <w:rFonts w:cs="Arial"/>
          <w:bCs/>
        </w:rPr>
      </w:pPr>
    </w:p>
    <w:p w14:paraId="13C290C1" w14:textId="77777777" w:rsidR="00FA264C" w:rsidRPr="004E2669" w:rsidRDefault="00FA264C" w:rsidP="00FA264C">
      <w:pPr>
        <w:ind w:left="360"/>
        <w:jc w:val="both"/>
        <w:rPr>
          <w:rFonts w:cs="Arial"/>
          <w:bCs/>
          <w:u w:val="single"/>
        </w:rPr>
      </w:pPr>
      <w:r>
        <w:rPr>
          <w:rFonts w:cs="Arial"/>
          <w:bCs/>
          <w:u w:val="single"/>
        </w:rPr>
        <w:t xml:space="preserve">2.4. </w:t>
      </w:r>
      <w:r w:rsidRPr="004E2669">
        <w:rPr>
          <w:rFonts w:cs="Arial"/>
          <w:bCs/>
          <w:u w:val="single"/>
        </w:rPr>
        <w:t>Andmed ei toeta ametnike teenistussuhte tähtajaliseks muutmist</w:t>
      </w:r>
    </w:p>
    <w:p w14:paraId="2A380060" w14:textId="77777777" w:rsidR="00FA264C" w:rsidRDefault="00FA264C" w:rsidP="00FA264C">
      <w:pPr>
        <w:ind w:left="360"/>
        <w:jc w:val="both"/>
        <w:rPr>
          <w:rFonts w:cs="Arial"/>
          <w:bCs/>
        </w:rPr>
      </w:pPr>
    </w:p>
    <w:p w14:paraId="4173288F" w14:textId="77777777" w:rsidR="00FA264C" w:rsidRPr="00E9543A" w:rsidRDefault="00FA264C" w:rsidP="00FA264C">
      <w:pPr>
        <w:ind w:left="360"/>
        <w:jc w:val="both"/>
        <w:rPr>
          <w:rFonts w:cs="Arial"/>
          <w:bCs/>
        </w:rPr>
      </w:pPr>
      <w:r w:rsidRPr="00E9543A">
        <w:rPr>
          <w:rFonts w:cs="Arial"/>
          <w:bCs/>
        </w:rPr>
        <w:t xml:space="preserve">Rahandusministeerium koondas statistikat 2021. aastal keskastmejuhtide tähtaegsuse kohta. </w:t>
      </w:r>
      <w:r w:rsidRPr="00E9543A">
        <w:rPr>
          <w:rFonts w:cs="Arial"/>
        </w:rPr>
        <w:t>Hetkel töötab ministeeriumides 217 keskastmejuhti (sh 26 töölepingulist), kelle keskmine staaž samal ametikohal on 4,5 aastat. 66 keskastmejuhti (30%) on ühel ametikohal töötanud üle 5 aasta, neist 28 teenistujat (12%) üle kümne aasta. Ametites, inspektsioonides ja muudes valitsusasutustes on teenistuses 578 keskastmejuhti (sh 91 töölepingulist), kelle keskmine staaž samal ametikohal on 4,2 aastat. 208 keskastmejuhti (36%) on ühel ametikohal töötanud üle 5 aasta, 38 (7%) neist üle kümne aasta. Lisaks on valitsusasutustes peadirektorite asetäitjatena teenistuses 43 inimest, kelle keskmine staaž samal ametikohal on 4,1 aastat. 12 asetäitjat (28%) on ühel ametikohal töötanud üle 5 aasta, neist 7 (28%) on ühel ametikohal töötanud üle 10 aasta. Viimastel aastatel on seoses 4 valitsusasutuse ümberkorraldamisega vähenenud pikka aega samal ametikohal töötanud keskastmejuhtide arv.</w:t>
      </w:r>
    </w:p>
    <w:p w14:paraId="79E7CCF0" w14:textId="77777777" w:rsidR="00FA264C" w:rsidRPr="00E9543A" w:rsidRDefault="00FA264C" w:rsidP="00FA264C">
      <w:pPr>
        <w:ind w:left="360"/>
        <w:jc w:val="both"/>
        <w:rPr>
          <w:rFonts w:cs="Arial"/>
          <w:bCs/>
        </w:rPr>
      </w:pPr>
    </w:p>
    <w:p w14:paraId="4CAE0EF8" w14:textId="77777777" w:rsidR="00FA264C" w:rsidRDefault="00FA264C" w:rsidP="00FA264C">
      <w:pPr>
        <w:ind w:left="360"/>
        <w:jc w:val="both"/>
        <w:rPr>
          <w:rFonts w:cs="Arial"/>
          <w:bCs/>
        </w:rPr>
      </w:pPr>
      <w:r>
        <w:rPr>
          <w:rFonts w:cs="Arial"/>
          <w:bCs/>
        </w:rPr>
        <w:t xml:space="preserve">Seega </w:t>
      </w:r>
      <w:r w:rsidRPr="00DF6A74">
        <w:rPr>
          <w:rFonts w:cs="Arial"/>
          <w:bCs/>
        </w:rPr>
        <w:t xml:space="preserve">peab tähtajaliste teenistussuhete loomine olema põhjendatud ja vajalik. </w:t>
      </w:r>
      <w:r>
        <w:rPr>
          <w:rFonts w:cs="Arial"/>
          <w:bCs/>
        </w:rPr>
        <w:t>Ülalviidatud s</w:t>
      </w:r>
      <w:r w:rsidRPr="00DF6A74">
        <w:rPr>
          <w:rFonts w:cs="Arial"/>
          <w:bCs/>
        </w:rPr>
        <w:t xml:space="preserve">tatistika kohaselt ei ole struktuuriüksuste tähtajatus probleem. Vastupidi – tulenevalt Euroopa Liidu direktiividest peab igasugune tähtajaline töö- või teenistussuhe olema eriliselt põhjendatud. </w:t>
      </w:r>
    </w:p>
    <w:p w14:paraId="4C811CA1" w14:textId="77777777" w:rsidR="00FA264C" w:rsidRDefault="00FA264C" w:rsidP="00FA264C">
      <w:pPr>
        <w:jc w:val="both"/>
        <w:rPr>
          <w:rFonts w:cs="Arial"/>
        </w:rPr>
      </w:pPr>
    </w:p>
    <w:p w14:paraId="103432D8" w14:textId="77777777" w:rsidR="00FA264C" w:rsidRDefault="00FA264C" w:rsidP="00FA264C">
      <w:pPr>
        <w:pStyle w:val="ListParagraph"/>
        <w:rPr>
          <w:b/>
        </w:rPr>
      </w:pPr>
      <w:r>
        <w:rPr>
          <w:b/>
        </w:rPr>
        <w:t>Jätta välja võimalus vabastada edaspidi kõiki ametnikke „koostöö mittelaabumise“ tõttu (</w:t>
      </w:r>
      <w:r w:rsidRPr="008E6FB2">
        <w:rPr>
          <w:b/>
        </w:rPr>
        <w:t>eelnõu § 1 p 41, ATS § 96</w:t>
      </w:r>
      <w:r w:rsidRPr="008E6FB2">
        <w:rPr>
          <w:b/>
          <w:vertAlign w:val="superscript"/>
        </w:rPr>
        <w:t>1</w:t>
      </w:r>
      <w:r w:rsidRPr="008E6FB2">
        <w:rPr>
          <w:b/>
        </w:rPr>
        <w:t>)</w:t>
      </w:r>
    </w:p>
    <w:p w14:paraId="6B3054CA" w14:textId="77777777" w:rsidR="00DF696A" w:rsidRDefault="00DF696A" w:rsidP="00DF696A">
      <w:pPr>
        <w:pStyle w:val="ListParagraph"/>
        <w:numPr>
          <w:ilvl w:val="0"/>
          <w:numId w:val="0"/>
        </w:numPr>
        <w:ind w:left="360"/>
        <w:rPr>
          <w:bCs/>
        </w:rPr>
      </w:pPr>
    </w:p>
    <w:p w14:paraId="3BADBC91" w14:textId="2440F629" w:rsidR="00FA264C" w:rsidRPr="00DF696A" w:rsidRDefault="00FA264C" w:rsidP="00DF696A">
      <w:pPr>
        <w:pStyle w:val="ListParagraph"/>
        <w:numPr>
          <w:ilvl w:val="0"/>
          <w:numId w:val="0"/>
        </w:numPr>
        <w:ind w:left="360"/>
        <w:rPr>
          <w:b/>
        </w:rPr>
      </w:pPr>
      <w:r w:rsidRPr="00DF696A">
        <w:rPr>
          <w:bCs/>
        </w:rPr>
        <w:t>Teenistus- ja usaldussuhte tähtajatuse põhimõtet täiendab ametniku teenistusest vabastamise piiratuse reegel.</w:t>
      </w:r>
      <w:r>
        <w:rPr>
          <w:rStyle w:val="FootnoteReference"/>
          <w:bCs/>
        </w:rPr>
        <w:footnoteReference w:id="7"/>
      </w:r>
      <w:r w:rsidRPr="00DF696A">
        <w:rPr>
          <w:bCs/>
        </w:rPr>
        <w:t xml:space="preserve"> </w:t>
      </w:r>
      <w:r w:rsidRPr="00DF696A">
        <w:rPr>
          <w:bCs/>
          <w:u w:val="single"/>
        </w:rPr>
        <w:t>Lihtne vabanemine ametnikest muudaks Eesti avaliku teenistuse ebastabiilseks ja politiseerituks.</w:t>
      </w:r>
      <w:r w:rsidRPr="00DF696A">
        <w:rPr>
          <w:b/>
        </w:rPr>
        <w:t xml:space="preserve"> </w:t>
      </w:r>
      <w:r w:rsidRPr="00DF696A">
        <w:rPr>
          <w:bCs/>
        </w:rPr>
        <w:t>Seega on eelnõu § 1 p-s 41 tehtud muudatus ohtlik.</w:t>
      </w:r>
      <w:r w:rsidRPr="00DF696A">
        <w:rPr>
          <w:b/>
        </w:rPr>
        <w:t xml:space="preserve"> </w:t>
      </w:r>
    </w:p>
    <w:p w14:paraId="1327ED1B" w14:textId="77777777" w:rsidR="00FA264C" w:rsidRDefault="00FA264C" w:rsidP="00FA264C">
      <w:pPr>
        <w:ind w:left="360"/>
        <w:jc w:val="both"/>
        <w:rPr>
          <w:b/>
        </w:rPr>
      </w:pPr>
    </w:p>
    <w:p w14:paraId="7DBFE3E5" w14:textId="77777777" w:rsidR="00FA264C" w:rsidRPr="004703B4" w:rsidRDefault="00FA264C" w:rsidP="00FA264C">
      <w:pPr>
        <w:ind w:left="360"/>
        <w:jc w:val="both"/>
        <w:rPr>
          <w:b/>
        </w:rPr>
      </w:pPr>
      <w:r>
        <w:rPr>
          <w:bCs/>
        </w:rPr>
        <w:t>Teatud tippastme ametnike puhul on täna võimalik vabastamine „koostöö mittelaabumise“ pärast. (s.o ministeeriumide kantslerid, vt ATS § 96). Tegemist on nn klassikalise poliitilise ametikoha olukorraga, mille puhul ametniku värbamine ja vabastamine sõltub paljuski poliitilistest valikutest. Selline võimalus on seni olnud Eestis suur erand. Eelnõuga soovitakse muuta kirjeldatud erand kõiki ametnikke puuduvaks reegliks. See ei oleks kooskõlas ametnike poliitilise neutraalsuse põhimõttega.</w:t>
      </w:r>
      <w:r>
        <w:rPr>
          <w:rStyle w:val="FootnoteReference"/>
          <w:bCs/>
        </w:rPr>
        <w:footnoteReference w:id="8"/>
      </w:r>
      <w:r>
        <w:rPr>
          <w:bCs/>
        </w:rPr>
        <w:t xml:space="preserve"> </w:t>
      </w:r>
      <w:r>
        <w:rPr>
          <w:rFonts w:cs="Arial"/>
          <w:u w:val="single"/>
        </w:rPr>
        <w:t xml:space="preserve">Seadusandja on teadlikult kaitsnud ametniku usaldust ametnikusuhte püsimajäämise vastu, et tagada ametnike sõltumatust.  </w:t>
      </w:r>
    </w:p>
    <w:p w14:paraId="4596C625" w14:textId="77777777" w:rsidR="00FA264C" w:rsidRPr="002B15D9" w:rsidRDefault="00FA264C" w:rsidP="00FA264C">
      <w:pPr>
        <w:rPr>
          <w:bCs/>
        </w:rPr>
      </w:pPr>
    </w:p>
    <w:p w14:paraId="443C6051" w14:textId="77777777" w:rsidR="00FA264C" w:rsidRDefault="00FA264C" w:rsidP="00FA264C">
      <w:pPr>
        <w:pStyle w:val="ListParagraph"/>
        <w:numPr>
          <w:ilvl w:val="0"/>
          <w:numId w:val="0"/>
        </w:numPr>
        <w:ind w:left="360"/>
        <w:rPr>
          <w:bCs/>
        </w:rPr>
      </w:pPr>
      <w:r>
        <w:rPr>
          <w:bCs/>
        </w:rPr>
        <w:lastRenderedPageBreak/>
        <w:t xml:space="preserve">Juhime tähelepanu, et niivõrd lihtne ei ole vabastada teenistujat isegi mitte töölepingu (TLS) kohaselt. Seega tekiks olukord, kus kehtiv tööõigus kaitseb ametikoha säilimist tugevamini kui avaliku teenistuse seadus. </w:t>
      </w:r>
    </w:p>
    <w:p w14:paraId="5B47EC53" w14:textId="77777777" w:rsidR="00FA264C" w:rsidRDefault="00FA264C" w:rsidP="00FA264C">
      <w:pPr>
        <w:jc w:val="both"/>
        <w:rPr>
          <w:rFonts w:cs="Arial"/>
          <w:u w:val="single"/>
        </w:rPr>
      </w:pPr>
    </w:p>
    <w:p w14:paraId="71421161" w14:textId="77777777" w:rsidR="00FA264C" w:rsidRPr="007A4FE1" w:rsidRDefault="00FA264C" w:rsidP="00FA264C">
      <w:pPr>
        <w:ind w:left="360"/>
        <w:jc w:val="both"/>
        <w:rPr>
          <w:rFonts w:cs="Arial"/>
        </w:rPr>
      </w:pPr>
      <w:r w:rsidRPr="007A4FE1">
        <w:rPr>
          <w:rFonts w:cs="Arial"/>
        </w:rPr>
        <w:t>Ametnikusuhte seaduslikul kujundamisel tuleb silmas pidada, et ametiasutuse kui tööandja sekkumisruum põhiõigustesse on tunduvalt ulatuslikum kui töötajate puhul. Iga ametnik peab juhinduma vahetu ja kõrgemalseisva juhi mistahes seadusega kooskõlas olevatest teenistusalastest juhistest ja korraldustest, samuti ametijuhendist (teenistuslik alluvus). Sisuliselt saab ametniku vabastada juba seepärast, et ta on jätnud täitmata talle antud korralduse. Eelnõuga lisandub vabastamise alusena äärmiselt laia alusena „koostöö mittelaabumine“ – seega peab see olema laiem kui korralduse mittetäitmine (s</w:t>
      </w:r>
      <w:r>
        <w:rPr>
          <w:rFonts w:cs="Arial"/>
        </w:rPr>
        <w:t>ee tähendab</w:t>
      </w:r>
      <w:r w:rsidRPr="007A4FE1">
        <w:rPr>
          <w:rFonts w:cs="Arial"/>
        </w:rPr>
        <w:t xml:space="preserve"> sisuliselt poliitilist valikut). </w:t>
      </w:r>
    </w:p>
    <w:p w14:paraId="0EA19F4B" w14:textId="77777777" w:rsidR="00FA264C" w:rsidRDefault="00FA264C" w:rsidP="00FA264C">
      <w:pPr>
        <w:ind w:left="360"/>
        <w:jc w:val="both"/>
        <w:rPr>
          <w:rFonts w:cs="Arial"/>
          <w:u w:val="single"/>
        </w:rPr>
      </w:pPr>
    </w:p>
    <w:p w14:paraId="6968A6D5" w14:textId="77777777" w:rsidR="00FA264C" w:rsidRPr="00F02AEA" w:rsidRDefault="00FA264C" w:rsidP="00FA264C">
      <w:pPr>
        <w:ind w:left="360"/>
        <w:jc w:val="both"/>
        <w:rPr>
          <w:rFonts w:cs="Arial"/>
          <w:u w:val="single"/>
        </w:rPr>
      </w:pPr>
      <w:r w:rsidRPr="004703B4">
        <w:rPr>
          <w:rFonts w:cs="Arial"/>
        </w:rPr>
        <w:t>Samas töötajatele niivõrd laia vabastamise alust ette ei nähta ning viimane peab lihtsalt ära tegema kokku lepitud töö.</w:t>
      </w:r>
      <w:r w:rsidRPr="00922EB0">
        <w:rPr>
          <w:rFonts w:cs="Arial"/>
        </w:rPr>
        <w:t xml:space="preserve"> </w:t>
      </w:r>
      <w:r>
        <w:rPr>
          <w:rFonts w:cs="Arial"/>
          <w:bCs/>
        </w:rPr>
        <w:t>Ka on ametnikele seatud võrreldes töötajatega suuremad piirangud (ulatuslikud põhiõiguste piirangud – nt arvamusvabaduse piiramine, tegevuspiirangud, streigikeeld jne.</w:t>
      </w:r>
    </w:p>
    <w:p w14:paraId="6ED5281F" w14:textId="77777777" w:rsidR="00FA264C" w:rsidRDefault="00FA264C" w:rsidP="00FA264C">
      <w:pPr>
        <w:jc w:val="both"/>
        <w:rPr>
          <w:rFonts w:cs="Arial"/>
          <w:b/>
        </w:rPr>
      </w:pPr>
    </w:p>
    <w:p w14:paraId="027118F0" w14:textId="77777777" w:rsidR="00FA264C" w:rsidRDefault="00FA264C" w:rsidP="00FA264C">
      <w:pPr>
        <w:ind w:left="360"/>
        <w:jc w:val="both"/>
        <w:rPr>
          <w:rFonts w:cs="Arial"/>
          <w:bCs/>
        </w:rPr>
      </w:pPr>
      <w:r w:rsidRPr="00B646F1">
        <w:rPr>
          <w:rFonts w:cs="Arial"/>
          <w:bCs/>
        </w:rPr>
        <w:t>Tulenevalt sellest, et ministrid, kantslerid ja asekantslerid on ametis</w:t>
      </w:r>
      <w:r w:rsidRPr="00B84910">
        <w:rPr>
          <w:bCs/>
        </w:rPr>
        <w:t xml:space="preserve"> </w:t>
      </w:r>
      <w:r w:rsidRPr="00B646F1">
        <w:rPr>
          <w:rFonts w:cs="Arial"/>
          <w:bCs/>
        </w:rPr>
        <w:t xml:space="preserve">tähtajaliselt, </w:t>
      </w:r>
      <w:r>
        <w:rPr>
          <w:bCs/>
        </w:rPr>
        <w:t xml:space="preserve">on just ülejäänud </w:t>
      </w:r>
      <w:r w:rsidRPr="00B646F1">
        <w:rPr>
          <w:rFonts w:cs="Arial"/>
          <w:bCs/>
        </w:rPr>
        <w:t xml:space="preserve">ametnikud need, kes kannavad ametiasutustes stabiilsust, omavad ajaloolist mälu, vajalikke teadmisi ja oskuseid. </w:t>
      </w:r>
      <w:r>
        <w:rPr>
          <w:rFonts w:cs="Arial"/>
          <w:bCs/>
        </w:rPr>
        <w:t xml:space="preserve">Seega Eesti avalikus teenistuses on ametnikud üldjuhul tähtajatult teenistuses, et kanda kõiki neid väärtuseid. </w:t>
      </w:r>
    </w:p>
    <w:p w14:paraId="47D6636A" w14:textId="77777777" w:rsidR="00FA264C" w:rsidRDefault="00FA264C" w:rsidP="00FA264C">
      <w:pPr>
        <w:ind w:left="360"/>
        <w:jc w:val="both"/>
        <w:rPr>
          <w:rFonts w:cs="Arial"/>
          <w:bCs/>
        </w:rPr>
      </w:pPr>
    </w:p>
    <w:p w14:paraId="06B0A424" w14:textId="77777777" w:rsidR="00FA264C" w:rsidRDefault="00FA264C" w:rsidP="00FA264C">
      <w:pPr>
        <w:ind w:left="360"/>
        <w:jc w:val="both"/>
        <w:rPr>
          <w:rFonts w:cs="Arial"/>
          <w:bCs/>
        </w:rPr>
      </w:pPr>
      <w:r>
        <w:rPr>
          <w:bCs/>
        </w:rPr>
        <w:t xml:space="preserve">Tehes </w:t>
      </w:r>
      <w:r>
        <w:rPr>
          <w:rFonts w:cs="Arial"/>
          <w:bCs/>
        </w:rPr>
        <w:t xml:space="preserve">ametniku positsiooni ebakindlaks, võimaldades temast vabaneda uue juhi saabumisel, </w:t>
      </w:r>
      <w:r>
        <w:rPr>
          <w:bCs/>
        </w:rPr>
        <w:t xml:space="preserve">muudab see </w:t>
      </w:r>
      <w:r>
        <w:rPr>
          <w:rFonts w:cs="Arial"/>
          <w:bCs/>
        </w:rPr>
        <w:t>oluliselt avaliku teenistuse seniseid väärtuseid. Ametikoha</w:t>
      </w:r>
      <w:r>
        <w:rPr>
          <w:bCs/>
        </w:rPr>
        <w:t xml:space="preserve"> </w:t>
      </w:r>
      <w:r>
        <w:rPr>
          <w:rFonts w:cs="Arial"/>
          <w:bCs/>
        </w:rPr>
        <w:t xml:space="preserve">kindlus kaitseb praegu ametnikke nii vahetuvate ministrite ehk poliitikute kui ka apoliitiliste juhtide ees. Oluline on ametniku professionaalsus. Ametiasutustes ei ole võimalik üle võtta erasektori näitel regulatsiooni, kus uue juhi saabudes värvatakse nö oma ametnikkond, sest ametnikke saab teenistusse võtta avaliku konkursi korras ning võitjaks peab osutuma parim võimalik kandidaat oma oskuste, teadmiste, professionaalsuse jms tõttu, mitte pelgalt selle tõttu, et selle isikuga sujub koostöö hästi. </w:t>
      </w:r>
    </w:p>
    <w:p w14:paraId="4195C043" w14:textId="77777777" w:rsidR="00FA264C" w:rsidRDefault="00FA264C" w:rsidP="00FA264C">
      <w:pPr>
        <w:ind w:left="360"/>
        <w:jc w:val="both"/>
        <w:rPr>
          <w:rFonts w:cs="Arial"/>
          <w:bCs/>
        </w:rPr>
      </w:pPr>
    </w:p>
    <w:p w14:paraId="28FD933F" w14:textId="77777777" w:rsidR="00FA264C" w:rsidRDefault="00FA264C" w:rsidP="00FA264C">
      <w:pPr>
        <w:ind w:left="360"/>
        <w:jc w:val="both"/>
        <w:rPr>
          <w:bCs/>
        </w:rPr>
      </w:pPr>
      <w:r>
        <w:rPr>
          <w:rFonts w:cs="Arial"/>
          <w:bCs/>
        </w:rPr>
        <w:t>Ametnikusuhte õiguskindlust ja hüvesid kärbiti olulisel määral uue ATSi jõustumisel 2013. a, kuid käesoleva eelnõuga võetakse ära ka need hüved, mis eelneva reformi käigus</w:t>
      </w:r>
      <w:r>
        <w:rPr>
          <w:bCs/>
        </w:rPr>
        <w:t xml:space="preserve"> </w:t>
      </w:r>
      <w:r>
        <w:rPr>
          <w:rFonts w:cs="Arial"/>
          <w:bCs/>
        </w:rPr>
        <w:t xml:space="preserve">ametnikele veel alles jäid. Seega on ametnikele seatud suuremad piirangud (ulatuslikud põhiõiguste piirangud – nt arvamusvabaduse piiramine, tegevuspiirangud, streigikeeld jne), kuid nende kompenseerimiseks ei ole enam ette nähtud teisi mehhanisme ega hüvesid. Kui seni on ametikohakindlus veel tagatud, siis eelnõu muudab ka selle olematuks. Muudatuse läbi väheneb avaliku teenistuse atraktiivsus. </w:t>
      </w:r>
    </w:p>
    <w:p w14:paraId="2306A79D" w14:textId="77777777" w:rsidR="00FA264C" w:rsidRDefault="00FA264C" w:rsidP="00FA264C">
      <w:pPr>
        <w:ind w:left="360"/>
        <w:rPr>
          <w:bCs/>
        </w:rPr>
      </w:pPr>
    </w:p>
    <w:p w14:paraId="5158EFB3" w14:textId="77777777" w:rsidR="00FA264C" w:rsidRPr="00922EB0" w:rsidRDefault="00FA264C" w:rsidP="00FA264C">
      <w:pPr>
        <w:ind w:left="360"/>
        <w:jc w:val="both"/>
        <w:rPr>
          <w:bCs/>
          <w:u w:val="single"/>
        </w:rPr>
      </w:pPr>
      <w:r w:rsidRPr="00922EB0">
        <w:rPr>
          <w:bCs/>
          <w:u w:val="single"/>
        </w:rPr>
        <w:t xml:space="preserve">Eeltoodud põhjendustel ei </w:t>
      </w:r>
      <w:r>
        <w:rPr>
          <w:bCs/>
          <w:u w:val="single"/>
        </w:rPr>
        <w:t>saa toetada</w:t>
      </w:r>
      <w:r w:rsidRPr="00922EB0">
        <w:rPr>
          <w:bCs/>
          <w:u w:val="single"/>
        </w:rPr>
        <w:t xml:space="preserve"> eelnõukohase ametist vabastamise aluse lisamist ATS-i (ATS § 96</w:t>
      </w:r>
      <w:r w:rsidRPr="00922EB0">
        <w:rPr>
          <w:bCs/>
          <w:u w:val="single"/>
          <w:vertAlign w:val="superscript"/>
        </w:rPr>
        <w:t>1</w:t>
      </w:r>
      <w:r w:rsidRPr="00922EB0">
        <w:rPr>
          <w:bCs/>
          <w:u w:val="single"/>
        </w:rPr>
        <w:t>).</w:t>
      </w:r>
    </w:p>
    <w:p w14:paraId="5BF092AC" w14:textId="77777777" w:rsidR="00FA264C" w:rsidRPr="00A71CF0" w:rsidRDefault="00FA264C" w:rsidP="00FA264C">
      <w:pPr>
        <w:ind w:left="360"/>
        <w:jc w:val="both"/>
        <w:rPr>
          <w:rFonts w:cs="Arial"/>
          <w:b/>
        </w:rPr>
      </w:pPr>
      <w:r w:rsidRPr="00A71CF0">
        <w:rPr>
          <w:b/>
        </w:rPr>
        <w:t xml:space="preserve"> </w:t>
      </w:r>
    </w:p>
    <w:p w14:paraId="3737B8DC" w14:textId="77777777" w:rsidR="00FA264C" w:rsidRPr="00ED49DE" w:rsidRDefault="00FA264C" w:rsidP="00FA264C">
      <w:pPr>
        <w:pStyle w:val="ListParagraph"/>
        <w:rPr>
          <w:b/>
        </w:rPr>
      </w:pPr>
      <w:r>
        <w:rPr>
          <w:b/>
        </w:rPr>
        <w:t>Jätta välja</w:t>
      </w:r>
      <w:r w:rsidRPr="00F02AEA">
        <w:rPr>
          <w:b/>
        </w:rPr>
        <w:t xml:space="preserve"> võimalus ilma konkursita ametnike värbamiseks (eelnõu § p 28)</w:t>
      </w:r>
    </w:p>
    <w:p w14:paraId="6FBBAABB" w14:textId="77777777" w:rsidR="00FA264C" w:rsidRDefault="00FA264C" w:rsidP="00FA264C">
      <w:pPr>
        <w:pStyle w:val="ListParagraph"/>
        <w:numPr>
          <w:ilvl w:val="0"/>
          <w:numId w:val="0"/>
        </w:numPr>
        <w:ind w:left="360"/>
        <w:rPr>
          <w:b/>
        </w:rPr>
      </w:pPr>
    </w:p>
    <w:p w14:paraId="0D91CDD5" w14:textId="77777777" w:rsidR="00FA264C" w:rsidRPr="00424F8E" w:rsidRDefault="00FA264C" w:rsidP="00DF696A">
      <w:pPr>
        <w:pStyle w:val="ListParagraph"/>
        <w:numPr>
          <w:ilvl w:val="0"/>
          <w:numId w:val="0"/>
        </w:numPr>
        <w:ind w:left="360"/>
        <w:rPr>
          <w:bCs/>
        </w:rPr>
      </w:pPr>
      <w:r w:rsidRPr="00922EB0">
        <w:rPr>
          <w:bCs/>
        </w:rPr>
        <w:t>Liikumine ametikohtade ja töökohtade vahel</w:t>
      </w:r>
      <w:r w:rsidRPr="00424F8E">
        <w:rPr>
          <w:bCs/>
        </w:rPr>
        <w:t xml:space="preserve"> (eelnõu § p 28, ATS § 33 lg 1</w:t>
      </w:r>
      <w:r>
        <w:rPr>
          <w:bCs/>
        </w:rPr>
        <w:t>4</w:t>
      </w:r>
      <w:r w:rsidRPr="00424F8E">
        <w:rPr>
          <w:bCs/>
        </w:rPr>
        <w:t xml:space="preserve">-16, sh liikumine ametnike ja töötajate vahel </w:t>
      </w:r>
      <w:r>
        <w:rPr>
          <w:bCs/>
        </w:rPr>
        <w:t>ning</w:t>
      </w:r>
      <w:r w:rsidRPr="00424F8E">
        <w:rPr>
          <w:bCs/>
        </w:rPr>
        <w:t xml:space="preserve"> hallatavatesse ja avalik-õiguslikesse juriidilistesse isikutesse</w:t>
      </w:r>
      <w:r w:rsidRPr="00922EB0">
        <w:rPr>
          <w:bCs/>
        </w:rPr>
        <w:t>) ei ole kooskõlas üldise avaliku teenistuse üldpõhimõtetega (</w:t>
      </w:r>
      <w:r w:rsidRPr="00424F8E">
        <w:rPr>
          <w:bCs/>
        </w:rPr>
        <w:t xml:space="preserve">avalik konkurss, avalikku võimu saab teostada vaid ametnik, ametnikele on kehtestatud rangemad nõuded ja piirangud). </w:t>
      </w:r>
    </w:p>
    <w:p w14:paraId="2D922EA2" w14:textId="77777777" w:rsidR="00FA264C" w:rsidRDefault="00FA264C" w:rsidP="00FA264C">
      <w:pPr>
        <w:jc w:val="both"/>
        <w:rPr>
          <w:rFonts w:cs="Arial"/>
          <w:bCs/>
        </w:rPr>
      </w:pPr>
    </w:p>
    <w:p w14:paraId="5C13D6EA" w14:textId="77777777" w:rsidR="00FA264C" w:rsidRPr="005D79C6" w:rsidRDefault="00FA264C" w:rsidP="00FA264C">
      <w:pPr>
        <w:ind w:left="360"/>
        <w:jc w:val="both"/>
        <w:rPr>
          <w:rFonts w:cs="Arial"/>
        </w:rPr>
      </w:pPr>
      <w:r w:rsidRPr="005D79C6">
        <w:rPr>
          <w:rFonts w:cs="Arial"/>
          <w:bCs/>
        </w:rPr>
        <w:t xml:space="preserve">Eelnõus </w:t>
      </w:r>
      <w:r w:rsidRPr="005D79C6">
        <w:rPr>
          <w:rFonts w:cs="Arial"/>
        </w:rPr>
        <w:t>pakutud viisil liikumist ameti- ja töökoha vahel ei ole kooskõlas üldise avaliku teenistuse üldpõhimõttega, mille kohaselt ametnike värvatakse</w:t>
      </w:r>
      <w:r w:rsidRPr="005D79C6">
        <w:t xml:space="preserve"> </w:t>
      </w:r>
      <w:r w:rsidRPr="005D79C6">
        <w:rPr>
          <w:rFonts w:cs="Arial"/>
        </w:rPr>
        <w:t xml:space="preserve">ametikohale alati avaliku konkursiga ning tulenevalt sellest, et ametnik teostab avalikku võimu, on talle ette nähtud kõrgemad nõuded ja tegevuspiirangud ning streigikeeld. </w:t>
      </w:r>
      <w:r>
        <w:rPr>
          <w:rFonts w:cs="Arial"/>
        </w:rPr>
        <w:t>Ametnikel on võimalik peatada teenistussuhe ja liikuda vahepeal avalikust teenistusest väljapoole (ATS § 83 p 1) ning seejärel naasta. Väljastpoolt avalikku teenistust on võimalik ametniku ametikohale tulla avaliku konkursiga, mis tagab kõikidele võrdse ligipääsu ametikohtadele ning läbipaistvuse värbamisel.</w:t>
      </w:r>
    </w:p>
    <w:p w14:paraId="0028B597" w14:textId="77777777" w:rsidR="00FA264C" w:rsidRPr="005D79C6" w:rsidRDefault="00FA264C" w:rsidP="00FA264C">
      <w:pPr>
        <w:ind w:left="360"/>
        <w:jc w:val="both"/>
        <w:rPr>
          <w:rFonts w:cs="Arial"/>
        </w:rPr>
      </w:pPr>
    </w:p>
    <w:p w14:paraId="34CB0885" w14:textId="77777777" w:rsidR="00FA264C" w:rsidRDefault="00FA264C" w:rsidP="00FA264C">
      <w:pPr>
        <w:ind w:left="360"/>
        <w:jc w:val="both"/>
        <w:rPr>
          <w:rFonts w:cs="Arial"/>
        </w:rPr>
      </w:pPr>
      <w:r w:rsidRPr="005D79C6">
        <w:rPr>
          <w:rFonts w:cs="Arial"/>
        </w:rPr>
        <w:t>Puhkusearvestuse osas toetame ATS-i üle vaatamist, kui on takistused ametnikul liikuda vahepeal erasektorisse ja siis naasta ametiasutusse.</w:t>
      </w:r>
    </w:p>
    <w:p w14:paraId="6C12A5AA" w14:textId="77777777" w:rsidR="00FA264C" w:rsidRPr="00C240AD" w:rsidRDefault="00FA264C" w:rsidP="00FA264C">
      <w:pPr>
        <w:pStyle w:val="NoSpacing"/>
        <w:rPr>
          <w:rFonts w:cs="Arial"/>
        </w:rPr>
      </w:pPr>
    </w:p>
    <w:p w14:paraId="226A60B2" w14:textId="77777777" w:rsidR="00FA264C" w:rsidRDefault="00FA264C" w:rsidP="00FA264C">
      <w:pPr>
        <w:rPr>
          <w:b/>
          <w:bCs/>
          <w:u w:val="single"/>
        </w:rPr>
      </w:pPr>
    </w:p>
    <w:p w14:paraId="660C62E8" w14:textId="77777777" w:rsidR="00FA264C" w:rsidRPr="000B27B5" w:rsidRDefault="00FA264C" w:rsidP="00FA264C">
      <w:pPr>
        <w:rPr>
          <w:b/>
          <w:bCs/>
          <w:u w:val="single"/>
        </w:rPr>
      </w:pPr>
      <w:r w:rsidRPr="000B27B5">
        <w:rPr>
          <w:b/>
          <w:bCs/>
          <w:u w:val="single"/>
        </w:rPr>
        <w:t>Muud märkused</w:t>
      </w:r>
    </w:p>
    <w:p w14:paraId="043B3ABF" w14:textId="77777777" w:rsidR="00FA264C" w:rsidRDefault="00FA264C" w:rsidP="00FA264C">
      <w:pPr>
        <w:rPr>
          <w:rFonts w:asciiTheme="minorHAnsi" w:hAnsiTheme="minorHAnsi"/>
          <w:sz w:val="22"/>
        </w:rPr>
      </w:pPr>
    </w:p>
    <w:p w14:paraId="6F496A68" w14:textId="77777777" w:rsidR="00FA264C" w:rsidRPr="00C623E9" w:rsidRDefault="00FA264C" w:rsidP="00FA264C">
      <w:pPr>
        <w:pStyle w:val="ListParagraph"/>
        <w:rPr>
          <w:rStyle w:val="cf01"/>
          <w:rFonts w:ascii="Arial" w:hAnsi="Arial" w:cs="Arial"/>
          <w:b/>
          <w:bCs/>
          <w:sz w:val="20"/>
          <w:szCs w:val="20"/>
        </w:rPr>
      </w:pPr>
      <w:r w:rsidRPr="00BC782D">
        <w:rPr>
          <w:b/>
          <w:bCs/>
        </w:rPr>
        <w:t>Eelnõu § 1 p-dega 3</w:t>
      </w:r>
      <w:r>
        <w:rPr>
          <w:b/>
          <w:bCs/>
        </w:rPr>
        <w:t>–</w:t>
      </w:r>
      <w:r w:rsidRPr="00BC782D">
        <w:rPr>
          <w:b/>
          <w:bCs/>
        </w:rPr>
        <w:t xml:space="preserve">7 (ATS § 12 muudatused) </w:t>
      </w:r>
      <w:r>
        <w:t xml:space="preserve">soovitakse laiendada senist ametniku eetikakoodeksit ka ametiasutuse töötajatele, asendades ATS-is sõnad „ametnikueetika“ sõnadega „avaliku teenistuse eetika“. Märgime, et </w:t>
      </w:r>
      <w:r w:rsidRPr="00C623E9">
        <w:t xml:space="preserve">ka praegu </w:t>
      </w:r>
      <w:r>
        <w:t xml:space="preserve">võib </w:t>
      </w:r>
      <w:r w:rsidRPr="00C623E9">
        <w:t xml:space="preserve">eetikakoodeksit kohaldada ametiasutuse töötajatele ja selleks ei ole vaja ATSi muuta. Töölepingus saab kokku leppida erinevates küsimustes. </w:t>
      </w:r>
    </w:p>
    <w:p w14:paraId="6E83FA62" w14:textId="77777777" w:rsidR="00FA264C" w:rsidRPr="00BC782D" w:rsidRDefault="00FA264C" w:rsidP="00FA264C">
      <w:pPr>
        <w:pStyle w:val="ListParagraph"/>
        <w:numPr>
          <w:ilvl w:val="0"/>
          <w:numId w:val="0"/>
        </w:numPr>
        <w:ind w:left="360"/>
        <w:rPr>
          <w:b/>
          <w:bCs/>
        </w:rPr>
      </w:pPr>
    </w:p>
    <w:p w14:paraId="5829834D" w14:textId="77777777" w:rsidR="00FA264C" w:rsidRDefault="00FA264C" w:rsidP="00FA264C">
      <w:pPr>
        <w:pStyle w:val="ListParagraph"/>
      </w:pPr>
      <w:r w:rsidRPr="007E38F1">
        <w:rPr>
          <w:b/>
          <w:bCs/>
        </w:rPr>
        <w:t>Eelnõu § 1 p 8 (ATS § 16 lg 4</w:t>
      </w:r>
      <w:r w:rsidRPr="007E38F1">
        <w:rPr>
          <w:b/>
          <w:bCs/>
          <w:vertAlign w:val="superscript"/>
        </w:rPr>
        <w:t>2</w:t>
      </w:r>
      <w:r w:rsidRPr="007E38F1">
        <w:rPr>
          <w:b/>
          <w:bCs/>
        </w:rPr>
        <w:t>)</w:t>
      </w:r>
      <w:r>
        <w:t xml:space="preserve"> – lisatav säte võimaldab ametikoha täitmiseks jätta konkursi korraldamata, kui selleks on põhjendatud alus. Põhjendatud aluse olemasolu võib muu hulgas eeldada, kui täidetavad teenistusülesanded on ajutise iseloomuga või kui täidetaval teenistuskohal töötamiseks on vajalik eriline pädevus. </w:t>
      </w:r>
    </w:p>
    <w:p w14:paraId="4B9F0AFF" w14:textId="77777777" w:rsidR="00FA264C" w:rsidRDefault="00FA264C" w:rsidP="00FA264C">
      <w:pPr>
        <w:pStyle w:val="ListParagraph"/>
        <w:numPr>
          <w:ilvl w:val="0"/>
          <w:numId w:val="0"/>
        </w:numPr>
        <w:ind w:left="360"/>
      </w:pPr>
    </w:p>
    <w:p w14:paraId="2F75B34D" w14:textId="77777777" w:rsidR="00FA264C" w:rsidRDefault="00FA264C" w:rsidP="00FA264C">
      <w:pPr>
        <w:spacing w:after="160" w:line="259" w:lineRule="auto"/>
        <w:ind w:left="360"/>
        <w:contextualSpacing/>
        <w:jc w:val="both"/>
      </w:pPr>
      <w:r>
        <w:t>Kõnealust muudatust ei saa toetada. E</w:t>
      </w:r>
      <w:r w:rsidRPr="008B1078">
        <w:rPr>
          <w:rFonts w:eastAsiaTheme="majorEastAsia"/>
        </w:rPr>
        <w:t xml:space="preserve">baselgeks jääb,  mis on ajutine iseloom ja kui kaua kestab ajutine. Samuti ei selgu, mis on eriline pädevus. </w:t>
      </w:r>
      <w:r>
        <w:t xml:space="preserve">Sätte sõnastusest ei selgu ka, kas konkursist võib loobuda, kui on </w:t>
      </w:r>
      <w:r w:rsidRPr="008B1078">
        <w:rPr>
          <w:rFonts w:eastAsiaTheme="majorEastAsia"/>
        </w:rPr>
        <w:t xml:space="preserve">täidetud vaid üks </w:t>
      </w:r>
      <w:r>
        <w:t xml:space="preserve">loetelus toodud eeldustest </w:t>
      </w:r>
      <w:r w:rsidRPr="008B1078">
        <w:rPr>
          <w:rFonts w:eastAsiaTheme="majorEastAsia"/>
        </w:rPr>
        <w:t>või peavad olema täidetud kõik korraga</w:t>
      </w:r>
      <w:r>
        <w:t xml:space="preserve">. </w:t>
      </w:r>
      <w:r w:rsidRPr="008B1078">
        <w:rPr>
          <w:rFonts w:eastAsiaTheme="majorEastAsia"/>
        </w:rPr>
        <w:t>Eriti viimane ehk "vajalik eriline pädevus" muudab sätte väga laiaks</w:t>
      </w:r>
      <w:r w:rsidRPr="008B1078">
        <w:t>.</w:t>
      </w:r>
      <w:r w:rsidRPr="008B1078">
        <w:rPr>
          <w:rFonts w:eastAsiaTheme="majorEastAsia"/>
        </w:rPr>
        <w:t xml:space="preserve"> </w:t>
      </w:r>
      <w:r>
        <w:t xml:space="preserve">Seletuskirjas puuduvad näited, selgitused ja põhjendused sätte rakendamiseks praktikas. Sätte rakendamine võib viia avalikest konkurssidest loobumiseni. Läbipaistev ja avalikkusele tagatud juurdepääs avaliku teenistuse ametikohtadele on olnud avaliku teenistuse baaspõhimõte ning sellest loobumine peab olema selgelt kaalutud ja reguleeritud. Põhjendatud alust võib sisustada väga loominguliselt, samuti puudub regulatsioon põhjenduste dokumenteerimiseks. Toodud on eelduslikud näited nt koha ajutisus – ajutine võib olla ka vanemapuhkusel viibiva teenistuja asendamise ülesanded. Algselt kavandatud osakoormus võib muutuda täiskoormuseks – kas ametniku koormuse tõstmine on lubatud asjaolude muutudes.   </w:t>
      </w:r>
    </w:p>
    <w:p w14:paraId="516C6292" w14:textId="77777777" w:rsidR="00FA264C" w:rsidRPr="00D96D07" w:rsidRDefault="00FA264C" w:rsidP="00FA264C">
      <w:pPr>
        <w:pStyle w:val="ListParagraph"/>
        <w:rPr>
          <w:b/>
          <w:bCs/>
        </w:rPr>
      </w:pPr>
      <w:r>
        <w:rPr>
          <w:b/>
          <w:bCs/>
        </w:rPr>
        <w:t>Eelnõu § 1 p 9 (ATS § 16 lg 6</w:t>
      </w:r>
      <w:r w:rsidRPr="00A0167A">
        <w:rPr>
          <w:b/>
          <w:bCs/>
          <w:vertAlign w:val="superscript"/>
        </w:rPr>
        <w:t>1</w:t>
      </w:r>
      <w:r>
        <w:rPr>
          <w:b/>
          <w:bCs/>
        </w:rPr>
        <w:t xml:space="preserve">) – </w:t>
      </w:r>
      <w:r>
        <w:t xml:space="preserve">säte võimaldab ajutiselt äraoleva ametniku ametikoha täita sisekonkursiga või tähtajalise üleviimise teel. </w:t>
      </w:r>
      <w:r w:rsidRPr="0008454B">
        <w:rPr>
          <w:rStyle w:val="cf01"/>
          <w:rFonts w:ascii="Arial" w:eastAsiaTheme="majorEastAsia" w:hAnsi="Arial" w:cs="Arial"/>
          <w:sz w:val="20"/>
          <w:szCs w:val="20"/>
        </w:rPr>
        <w:t xml:space="preserve">Kui sisekonkursil saavad osaleda ka ametiasutuse töötajad, siis on see vastuolus ATS üldpõhimõtetega ja seda ei saa toetada. Kui suur see probleem on praktikas, seda ei selgitata ka seletuskirjas. </w:t>
      </w:r>
      <w:r w:rsidRPr="0008454B">
        <w:rPr>
          <w:bCs/>
        </w:rPr>
        <w:t xml:space="preserve">VTK kooskõlastamisel </w:t>
      </w:r>
      <w:r>
        <w:rPr>
          <w:bCs/>
        </w:rPr>
        <w:t xml:space="preserve">viitas </w:t>
      </w:r>
      <w:r w:rsidRPr="0008454B">
        <w:rPr>
          <w:bCs/>
        </w:rPr>
        <w:t>Justiits</w:t>
      </w:r>
      <w:r>
        <w:rPr>
          <w:bCs/>
        </w:rPr>
        <w:t>- ja Digi</w:t>
      </w:r>
      <w:r w:rsidRPr="0008454B">
        <w:rPr>
          <w:bCs/>
        </w:rPr>
        <w:t xml:space="preserve">ministeerium sellele, et </w:t>
      </w:r>
      <w:r w:rsidRPr="0008454B">
        <w:t>nõustume ettepanekuga kasutada sisekonkurssi olukorras, kus tippjuhi ametikoht tuleb kiiresti ajutiselt täita. Siiski tuleb siin läbi mõelda erinevad aspektid, mis eelnõus ega seletuskirjas ei kajastu</w:t>
      </w:r>
      <w:r>
        <w:t>,</w:t>
      </w:r>
      <w:r w:rsidRPr="0008454B">
        <w:t xml:space="preserve"> </w:t>
      </w:r>
      <w:r>
        <w:t>m</w:t>
      </w:r>
      <w:r w:rsidRPr="0008454B">
        <w:t>h se</w:t>
      </w:r>
      <w:r>
        <w:t>e</w:t>
      </w:r>
      <w:r w:rsidRPr="0008454B">
        <w:t>, kes ja kuidas tippjuhi sisekonkursi korraldab (tippjuhtide valikukomisjon määruses sätestatud korras?), kui pikk võib olla sisekonkursiga valitud isiku teenistustähtaeg (tegemist on tähtajalise ametikohaga), mitu korda pikendada jms. Tippjuht võib eemal olla aastaid. Ebaselgeks jääb, milline on edaspidi eemal viibiva ametniku asendaja tähtaeg.</w:t>
      </w:r>
      <w:r>
        <w:t xml:space="preserve"> Palume need aspektid analüüsida ja seletuskirjas avada ning eelnõu vastavalt täiendada.</w:t>
      </w:r>
    </w:p>
    <w:p w14:paraId="460E4D76" w14:textId="77777777" w:rsidR="00FA264C" w:rsidRPr="00D96D07" w:rsidRDefault="00FA264C" w:rsidP="001058A8">
      <w:pPr>
        <w:pStyle w:val="ListParagraph"/>
        <w:numPr>
          <w:ilvl w:val="0"/>
          <w:numId w:val="0"/>
        </w:numPr>
        <w:ind w:left="360"/>
        <w:rPr>
          <w:rStyle w:val="cf01"/>
          <w:rFonts w:ascii="Arial" w:hAnsi="Arial" w:cs="Arial"/>
          <w:b/>
          <w:bCs/>
          <w:sz w:val="20"/>
          <w:szCs w:val="20"/>
        </w:rPr>
      </w:pPr>
    </w:p>
    <w:p w14:paraId="2DBE7A37" w14:textId="77777777" w:rsidR="00FA264C" w:rsidRPr="00412922" w:rsidRDefault="00FA264C" w:rsidP="00FA264C">
      <w:pPr>
        <w:pStyle w:val="ListParagraph"/>
        <w:rPr>
          <w:rStyle w:val="cf01"/>
          <w:rFonts w:ascii="Arial" w:hAnsi="Arial" w:cs="Arial"/>
          <w:b/>
          <w:bCs/>
          <w:sz w:val="20"/>
          <w:szCs w:val="20"/>
        </w:rPr>
      </w:pPr>
      <w:r w:rsidRPr="00412922">
        <w:rPr>
          <w:rStyle w:val="cf01"/>
          <w:rFonts w:ascii="Arial" w:eastAsiaTheme="majorEastAsia" w:hAnsi="Arial" w:cs="Arial"/>
          <w:sz w:val="20"/>
          <w:szCs w:val="20"/>
        </w:rPr>
        <w:t xml:space="preserve">Eelnõu § 1 </w:t>
      </w:r>
      <w:r w:rsidRPr="00D96D07">
        <w:rPr>
          <w:rStyle w:val="cf01"/>
          <w:rFonts w:ascii="Arial" w:eastAsiaTheme="majorEastAsia" w:hAnsi="Arial" w:cs="Arial"/>
          <w:sz w:val="20"/>
          <w:szCs w:val="20"/>
        </w:rPr>
        <w:t>p 12 –</w:t>
      </w:r>
      <w:r w:rsidRPr="00412922">
        <w:rPr>
          <w:rStyle w:val="cf01"/>
          <w:rFonts w:ascii="Arial" w:eastAsiaTheme="majorEastAsia" w:hAnsi="Arial" w:cs="Arial"/>
          <w:sz w:val="20"/>
          <w:szCs w:val="20"/>
        </w:rPr>
        <w:t xml:space="preserve"> </w:t>
      </w:r>
      <w:r w:rsidRPr="00D96D07">
        <w:rPr>
          <w:rStyle w:val="cf01"/>
          <w:rFonts w:ascii="Arial" w:eastAsiaTheme="majorEastAsia" w:hAnsi="Arial" w:cs="Arial"/>
          <w:sz w:val="20"/>
          <w:szCs w:val="20"/>
        </w:rPr>
        <w:t>ei saa toetada kõikidele juhtidele tähtajalise teenistussuhte kehtestamist</w:t>
      </w:r>
      <w:r>
        <w:rPr>
          <w:rStyle w:val="cf01"/>
          <w:rFonts w:ascii="Arial" w:eastAsiaTheme="majorEastAsia" w:hAnsi="Arial" w:cs="Arial"/>
          <w:sz w:val="20"/>
          <w:szCs w:val="20"/>
        </w:rPr>
        <w:t xml:space="preserve"> (vt üleval põhimõttelist märkust)</w:t>
      </w:r>
      <w:r w:rsidRPr="00D96D07">
        <w:rPr>
          <w:rStyle w:val="cf01"/>
          <w:rFonts w:ascii="Arial" w:eastAsiaTheme="majorEastAsia" w:hAnsi="Arial" w:cs="Arial"/>
          <w:sz w:val="20"/>
          <w:szCs w:val="20"/>
        </w:rPr>
        <w:t>. Seletuskirja lk 2 viide VVTP-le näitab, et tegelikult peeti silmas oluliselt kitsamat isikute ringi kui nüüd eelnõus. Seletuskirja lk 4 toodud väide, et on muudetud juhtide tähtajalisuse regulatsiooni, ei vasta tõele, sest jätkuvalt on isikute ring väga lai ja ei vasta VVTP-s toodule. Seletuskirja lk 22 esimeses lõigus on viidatud, et keskastmejuhtide tähtajalisust on pikemalt analüüsitud, kuid see järeldus võiks kajastuda ka eelnõu seletuskirjas, et üldjuhul on keskastmejuhtide staaž alla viie aasta ehk ebaselgeks jääb, millist praktikaprobleemi lahendatakse.</w:t>
      </w:r>
    </w:p>
    <w:p w14:paraId="7F635B5B" w14:textId="77777777" w:rsidR="00FA264C" w:rsidRPr="006F3AAA" w:rsidRDefault="00FA264C" w:rsidP="00FA264C">
      <w:pPr>
        <w:rPr>
          <w:b/>
          <w:bCs/>
        </w:rPr>
      </w:pPr>
    </w:p>
    <w:p w14:paraId="21B4A7EC" w14:textId="77777777" w:rsidR="00FA264C" w:rsidRPr="00D96D07" w:rsidRDefault="00FA264C" w:rsidP="00FA264C">
      <w:pPr>
        <w:pStyle w:val="ListParagraph"/>
        <w:rPr>
          <w:vanish/>
          <w:specVanish/>
        </w:rPr>
      </w:pPr>
    </w:p>
    <w:p w14:paraId="2A9AD7EF" w14:textId="77777777" w:rsidR="00FA264C" w:rsidRPr="00D96D07" w:rsidRDefault="00FA264C" w:rsidP="00FA264C">
      <w:pPr>
        <w:pStyle w:val="ListParagraph"/>
        <w:rPr>
          <w:vanish/>
          <w:specVanish/>
        </w:rPr>
      </w:pPr>
    </w:p>
    <w:p w14:paraId="115AC571" w14:textId="77777777" w:rsidR="00FA264C" w:rsidRPr="00D96D07" w:rsidRDefault="00FA264C" w:rsidP="00FA264C">
      <w:pPr>
        <w:pStyle w:val="ListParagraph"/>
        <w:rPr>
          <w:vanish/>
          <w:specVanish/>
        </w:rPr>
      </w:pPr>
    </w:p>
    <w:p w14:paraId="62553CD1" w14:textId="77777777" w:rsidR="00FA264C" w:rsidRPr="00D96D07" w:rsidRDefault="00FA264C" w:rsidP="00FA264C">
      <w:pPr>
        <w:pStyle w:val="ListParagraph"/>
        <w:rPr>
          <w:vanish/>
          <w:specVanish/>
        </w:rPr>
      </w:pPr>
    </w:p>
    <w:p w14:paraId="7B0B03AD" w14:textId="0C286BA9" w:rsidR="00FA264C" w:rsidRPr="008C4433" w:rsidRDefault="00FA264C" w:rsidP="00FA264C">
      <w:pPr>
        <w:pStyle w:val="ListParagraph"/>
        <w:rPr>
          <w:vanish/>
          <w:specVanish/>
        </w:rPr>
      </w:pPr>
      <w:r w:rsidRPr="00CC5F0B">
        <w:rPr>
          <w:b/>
          <w:bCs/>
        </w:rPr>
        <w:t>Eelnõu § 1 p 15 (ATS § 23 lg 21)</w:t>
      </w:r>
      <w:r>
        <w:t xml:space="preserve"> </w:t>
      </w:r>
      <w:bookmarkStart w:id="3" w:name="_Hlk202185931"/>
      <w:r>
        <w:t>–</w:t>
      </w:r>
      <w:bookmarkEnd w:id="3"/>
      <w:r>
        <w:t xml:space="preserve"> eelnõu </w:t>
      </w:r>
    </w:p>
    <w:p w14:paraId="7098F74F" w14:textId="77777777" w:rsidR="00FA264C" w:rsidRPr="00D96D07" w:rsidRDefault="00FA264C" w:rsidP="00FA264C">
      <w:pPr>
        <w:pStyle w:val="NoSpacing"/>
        <w:numPr>
          <w:ilvl w:val="0"/>
          <w:numId w:val="1"/>
        </w:numPr>
        <w:jc w:val="both"/>
        <w:rPr>
          <w:rFonts w:cs="Arial"/>
        </w:rPr>
      </w:pPr>
      <w:r>
        <w:rPr>
          <w:rFonts w:ascii="Arial" w:hAnsi="Arial" w:cs="Arial"/>
          <w:sz w:val="20"/>
          <w:szCs w:val="20"/>
        </w:rPr>
        <w:t>järgi on riigiasutustes keskastmejuhtide tähtajaline teenistussuhe kohustuslik, kuid kohaliku omavalitsuse üksustele jäetakse kaalumisõigus, kas juhid nimetada ametisse tähtajaliselt või mitte. Palume selgitada, millistele argumentidele tuginedes jäetakse juhtide teenistuse tähtaegsus kohalike omavalitsustele vabalt valida.</w:t>
      </w:r>
    </w:p>
    <w:p w14:paraId="37548E75" w14:textId="77777777" w:rsidR="00FA264C" w:rsidRDefault="00FA264C" w:rsidP="00FA264C">
      <w:pPr>
        <w:pStyle w:val="NoSpacing"/>
        <w:ind w:left="360"/>
        <w:jc w:val="both"/>
        <w:rPr>
          <w:rFonts w:cs="Arial"/>
        </w:rPr>
      </w:pPr>
    </w:p>
    <w:p w14:paraId="41E9E29D" w14:textId="77777777" w:rsidR="00FA264C" w:rsidRPr="00CA4FB4" w:rsidRDefault="00FA264C" w:rsidP="00FA264C">
      <w:pPr>
        <w:pStyle w:val="ListParagraph"/>
      </w:pPr>
      <w:r>
        <w:t>Eelnõu § 1 p</w:t>
      </w:r>
      <w:r w:rsidRPr="00CA4FB4">
        <w:t xml:space="preserve"> 18 – </w:t>
      </w:r>
      <w:r>
        <w:t xml:space="preserve">Viidatud sättega tehakse järgmine põhimõtteline ja </w:t>
      </w:r>
      <w:r w:rsidRPr="00CA4FB4">
        <w:t xml:space="preserve">oluline muudatus, et kõikidele juhtidele kehtestatakse kahekordse ametiaja piirang. </w:t>
      </w:r>
      <w:r>
        <w:t>Taoline piirang</w:t>
      </w:r>
      <w:r w:rsidRPr="00CA4FB4">
        <w:t xml:space="preserve"> toob kaasa bürokraatia suurenemise täiendavate konkursside näol, lisaks võib see vähendada avaliku teenistuse atraktiivsust</w:t>
      </w:r>
      <w:r>
        <w:t xml:space="preserve">. Samuti ei ole hästi jälgitav, kuidas selline jäik piirang aitab lahendada praktikas tõusetunud probleeme. </w:t>
      </w:r>
    </w:p>
    <w:p w14:paraId="44A77F25" w14:textId="77777777" w:rsidR="00FA264C" w:rsidRPr="00D96D07" w:rsidRDefault="00FA264C" w:rsidP="00FA264C">
      <w:pPr>
        <w:rPr>
          <w:b/>
          <w:bCs/>
        </w:rPr>
      </w:pPr>
    </w:p>
    <w:p w14:paraId="68C58DAC" w14:textId="77777777" w:rsidR="00FA264C" w:rsidRPr="00D96D07" w:rsidRDefault="00FA264C" w:rsidP="00FA264C">
      <w:pPr>
        <w:pStyle w:val="NoSpacing"/>
        <w:numPr>
          <w:ilvl w:val="0"/>
          <w:numId w:val="1"/>
        </w:numPr>
        <w:jc w:val="both"/>
        <w:rPr>
          <w:rFonts w:ascii="Arial" w:hAnsi="Arial" w:cs="Arial"/>
          <w:sz w:val="20"/>
          <w:szCs w:val="20"/>
        </w:rPr>
      </w:pPr>
      <w:r w:rsidRPr="00D96D07">
        <w:rPr>
          <w:rFonts w:cs="Arial"/>
          <w:b/>
          <w:bCs/>
        </w:rPr>
        <w:lastRenderedPageBreak/>
        <w:t xml:space="preserve">Eelnõu </w:t>
      </w:r>
      <w:r w:rsidRPr="00D96D07">
        <w:rPr>
          <w:rFonts w:ascii="Arial" w:hAnsi="Arial" w:cs="Arial"/>
          <w:b/>
          <w:bCs/>
          <w:sz w:val="20"/>
          <w:szCs w:val="20"/>
        </w:rPr>
        <w:t>§ 1 p 19</w:t>
      </w:r>
      <w:r w:rsidRPr="00521E42">
        <w:rPr>
          <w:rFonts w:ascii="Arial" w:hAnsi="Arial" w:cs="Arial"/>
          <w:b/>
          <w:bCs/>
          <w:sz w:val="20"/>
          <w:szCs w:val="20"/>
        </w:rPr>
        <w:t xml:space="preserve"> (lisatav ATS § 23</w:t>
      </w:r>
      <w:r w:rsidRPr="00521E42">
        <w:rPr>
          <w:rFonts w:ascii="Arial" w:hAnsi="Arial" w:cs="Arial"/>
          <w:b/>
          <w:bCs/>
          <w:sz w:val="20"/>
          <w:szCs w:val="20"/>
          <w:vertAlign w:val="superscript"/>
        </w:rPr>
        <w:t>1</w:t>
      </w:r>
      <w:r w:rsidRPr="00521E42">
        <w:rPr>
          <w:rFonts w:ascii="Arial" w:hAnsi="Arial" w:cs="Arial"/>
          <w:b/>
          <w:bCs/>
          <w:sz w:val="20"/>
          <w:szCs w:val="20"/>
        </w:rPr>
        <w:t xml:space="preserve"> lg 5)</w:t>
      </w:r>
      <w:r w:rsidRPr="00D96D07">
        <w:rPr>
          <w:rFonts w:ascii="Arial" w:hAnsi="Arial" w:cs="Arial"/>
          <w:sz w:val="20"/>
          <w:szCs w:val="20"/>
        </w:rPr>
        <w:t xml:space="preserve"> </w:t>
      </w:r>
      <w:r>
        <w:t>–</w:t>
      </w:r>
      <w:r w:rsidRPr="00D96D07">
        <w:rPr>
          <w:rFonts w:ascii="Arial" w:hAnsi="Arial" w:cs="Arial"/>
          <w:sz w:val="20"/>
          <w:szCs w:val="20"/>
        </w:rPr>
        <w:t xml:space="preserve"> </w:t>
      </w:r>
      <w:r w:rsidRPr="00521E42">
        <w:rPr>
          <w:rFonts w:ascii="Arial" w:hAnsi="Arial" w:cs="Arial"/>
          <w:sz w:val="20"/>
          <w:szCs w:val="20"/>
        </w:rPr>
        <w:t>teeme ettepaneku</w:t>
      </w:r>
      <w:r w:rsidRPr="00D96D07">
        <w:rPr>
          <w:rFonts w:ascii="Arial" w:hAnsi="Arial" w:cs="Arial"/>
          <w:sz w:val="20"/>
          <w:szCs w:val="20"/>
        </w:rPr>
        <w:t xml:space="preserve"> säte välja jätta</w:t>
      </w:r>
      <w:r w:rsidRPr="00521E42">
        <w:rPr>
          <w:rFonts w:ascii="Arial" w:hAnsi="Arial" w:cs="Arial"/>
          <w:sz w:val="20"/>
          <w:szCs w:val="20"/>
        </w:rPr>
        <w:t>. Täiendada eelnõu ATS § 102 lõikega 4 ja</w:t>
      </w:r>
      <w:r w:rsidRPr="00D96D07">
        <w:rPr>
          <w:rFonts w:ascii="Arial" w:hAnsi="Arial" w:cs="Arial"/>
          <w:sz w:val="20"/>
          <w:szCs w:val="20"/>
        </w:rPr>
        <w:t xml:space="preserve"> lisada </w:t>
      </w:r>
      <w:r w:rsidRPr="00521E42">
        <w:rPr>
          <w:rFonts w:ascii="Arial" w:hAnsi="Arial" w:cs="Arial"/>
          <w:sz w:val="20"/>
          <w:szCs w:val="20"/>
        </w:rPr>
        <w:t xml:space="preserve">hüvitis </w:t>
      </w:r>
      <w:r>
        <w:rPr>
          <w:rFonts w:ascii="Arial" w:hAnsi="Arial" w:cs="Arial"/>
          <w:sz w:val="20"/>
          <w:szCs w:val="20"/>
        </w:rPr>
        <w:t xml:space="preserve">tähtajalises teenistussuhtes olevatele </w:t>
      </w:r>
      <w:r w:rsidRPr="00D96D07">
        <w:rPr>
          <w:rFonts w:ascii="Arial" w:hAnsi="Arial" w:cs="Arial"/>
          <w:sz w:val="20"/>
          <w:szCs w:val="20"/>
        </w:rPr>
        <w:t>ametnikele</w:t>
      </w:r>
      <w:r>
        <w:rPr>
          <w:rFonts w:ascii="Arial" w:hAnsi="Arial" w:cs="Arial"/>
          <w:sz w:val="20"/>
          <w:szCs w:val="20"/>
        </w:rPr>
        <w:t>, kes vabastatakse ennetähtaegselt (vt üleval põhimõttelist märkust nr 3).</w:t>
      </w:r>
    </w:p>
    <w:p w14:paraId="7DD8FA83" w14:textId="77777777" w:rsidR="00FA264C" w:rsidRPr="00521E42" w:rsidRDefault="00FA264C" w:rsidP="00FA264C">
      <w:pPr>
        <w:pStyle w:val="NoSpacing"/>
        <w:ind w:left="360"/>
        <w:jc w:val="both"/>
        <w:rPr>
          <w:rFonts w:cs="Arial"/>
        </w:rPr>
      </w:pPr>
    </w:p>
    <w:p w14:paraId="080F7D89" w14:textId="77777777" w:rsidR="00FA264C" w:rsidRPr="00703813" w:rsidRDefault="00FA264C" w:rsidP="00FA264C">
      <w:pPr>
        <w:pStyle w:val="ListParagraph"/>
        <w:contextualSpacing/>
      </w:pPr>
      <w:r w:rsidRPr="006623C8">
        <w:rPr>
          <w:b/>
          <w:bCs/>
        </w:rPr>
        <w:t>Eelnõu § 1 p 23 (ATS § 30 lg 1)</w:t>
      </w:r>
      <w:r>
        <w:t xml:space="preserve"> – </w:t>
      </w:r>
      <w:r w:rsidRPr="00E81E70">
        <w:t>kehtiv ATS nõuab arenguvestluste tegemist vähemalt üks kord aastas. Selle asendamine kohustusega teha „regulaarseid vestluseid“ hägustab selgust, kuivõrd regulaarsus võib olla ka harvemini kui kord aastas, ja toob kaasa võimaluse vestlustest kõrvale hiilimiseks. Palume muudatus eelnõust välja jätta.</w:t>
      </w:r>
      <w:r>
        <w:rPr>
          <w:bCs/>
        </w:rPr>
        <w:t xml:space="preserve"> </w:t>
      </w:r>
    </w:p>
    <w:p w14:paraId="554FB3AE" w14:textId="77777777" w:rsidR="00FA264C" w:rsidRDefault="00FA264C" w:rsidP="00FA264C">
      <w:pPr>
        <w:pStyle w:val="ListParagraph"/>
        <w:numPr>
          <w:ilvl w:val="0"/>
          <w:numId w:val="0"/>
        </w:numPr>
        <w:ind w:left="360"/>
      </w:pPr>
    </w:p>
    <w:p w14:paraId="6DACFBEA" w14:textId="77777777" w:rsidR="00FA264C" w:rsidRPr="00703813" w:rsidRDefault="00FA264C" w:rsidP="00FA264C">
      <w:pPr>
        <w:pStyle w:val="ListParagraph"/>
      </w:pPr>
      <w:r w:rsidRPr="00703813">
        <w:rPr>
          <w:b/>
          <w:bCs/>
        </w:rPr>
        <w:t>Eelnõu § 1 p 28 (ATS § 33 lg 14-16)</w:t>
      </w:r>
      <w:r>
        <w:t xml:space="preserve"> – eelnõukohase ATS § 33 lg 14 räägib ametniku üleviimisest töötaja töökohale. Oleme seisukohal, et see ei ole kooskõlas ATS ja TLS põhimõtetega. Ametniku avaliku võimu teostamise õigus tuleb peatada ja seejärel sõlmida temaga tööleping. Seda võimaldab teha ka kehtiv seadus. Ka kehtiva seaduse järgi peab ametiasutus tagama ametikoha, palga jms, mille tõttu leiame, et eelnõus pakutud ATS § 15 ja 16 ei ole vajalikud. </w:t>
      </w:r>
    </w:p>
    <w:p w14:paraId="20493AD1" w14:textId="77777777" w:rsidR="00FA264C" w:rsidRPr="00703813" w:rsidRDefault="00FA264C" w:rsidP="00FA264C">
      <w:pPr>
        <w:pStyle w:val="ListParagraph"/>
        <w:numPr>
          <w:ilvl w:val="0"/>
          <w:numId w:val="0"/>
        </w:numPr>
        <w:ind w:left="360"/>
        <w:rPr>
          <w:b/>
          <w:bCs/>
        </w:rPr>
      </w:pPr>
    </w:p>
    <w:p w14:paraId="346232AD" w14:textId="77777777" w:rsidR="00FA264C" w:rsidRPr="00CA2938" w:rsidRDefault="00FA264C" w:rsidP="00FA264C">
      <w:pPr>
        <w:pStyle w:val="ListParagraph"/>
        <w:rPr>
          <w:b/>
          <w:bCs/>
        </w:rPr>
      </w:pPr>
      <w:r>
        <w:rPr>
          <w:b/>
          <w:bCs/>
        </w:rPr>
        <w:t xml:space="preserve">Eelnõu § 1 p 28 (ATS § 33 lg 16) – </w:t>
      </w:r>
      <w:r>
        <w:t xml:space="preserve">eelnõukohane ATS § 33 lg 16 näeb ette võimaluse viia ametiasutuse töötaja üle ametikohale ehk ametnikuks. Selle eelduseks on sama lõike teise lause kohaselt see, et töötaja on ametiasutusse tööle võetud avaliku konkursiga. </w:t>
      </w:r>
      <w:r w:rsidRPr="00C277F2">
        <w:rPr>
          <w:bCs/>
        </w:rPr>
        <w:t xml:space="preserve">Seda on praktikas väga keeruline kontrollida, sest riigis on terve hulk pikaajalisi töötajaid, kelle osas on praktiliselt ilmvõimatu kontrollida, kas ta kunagi võeti tööle konkursiga või mitte. </w:t>
      </w:r>
      <w:r>
        <w:rPr>
          <w:bCs/>
        </w:rPr>
        <w:t xml:space="preserve">Lisaks märgime, </w:t>
      </w:r>
      <w:r>
        <w:t xml:space="preserve"> et üksnes avalik konkurss ei ole piisav, sest isik peab ka vastama ametnikule esitatavatele nõuetele.</w:t>
      </w:r>
      <w:r>
        <w:rPr>
          <w:b/>
          <w:bCs/>
        </w:rPr>
        <w:t xml:space="preserve"> </w:t>
      </w:r>
    </w:p>
    <w:p w14:paraId="363EED04" w14:textId="77777777" w:rsidR="00FA264C" w:rsidRPr="003A2331" w:rsidRDefault="00FA264C" w:rsidP="00FA264C">
      <w:pPr>
        <w:pStyle w:val="ListParagraph"/>
        <w:numPr>
          <w:ilvl w:val="0"/>
          <w:numId w:val="0"/>
        </w:numPr>
        <w:ind w:left="360"/>
        <w:rPr>
          <w:b/>
          <w:bCs/>
        </w:rPr>
      </w:pPr>
    </w:p>
    <w:p w14:paraId="271787F3" w14:textId="77777777" w:rsidR="00FA264C" w:rsidRDefault="00FA264C" w:rsidP="00FA264C">
      <w:pPr>
        <w:pStyle w:val="ListParagraph"/>
        <w:rPr>
          <w:b/>
          <w:bCs/>
        </w:rPr>
      </w:pPr>
      <w:r>
        <w:rPr>
          <w:b/>
          <w:bCs/>
        </w:rPr>
        <w:t xml:space="preserve">Eelnõu § 1 p 30 (ATS § 39 lg 6) – </w:t>
      </w:r>
      <w:r>
        <w:t>ametnikele soovitakse eelnõuga rakendada töölepingu seaduse § 44 lg 6 ja 7 alusel hüvitamise korda. Ei saa nõustuda seletuskirjas lk 26 toodud seisukohaga, et tasumäär ületunnitöö hüvitamisel ei muutu. TLS § 44 lg 7 kasutab töötasu mõistet, mis ei samastu senise ATS mõistega „põhipalk“ (ATS § 61 lg 2 fikseeritud palga osa). Põhipalk on palga osa (ATS  61 lg 1), mõiste „palk“ on  mõistega „töötasu“ sarnasem. Töötasu sisaldab TLS § 5 lg 1 p 5 kohaselt lisaks tööle makstavale tasule ka majandustulemustelt ja tehingutelt makstavat tasu.  Õiguskirjanduses on viidatud, et töötasu võib sisalda ka muid tasusid nt ületunnitöötasu ning lisatasud võivad olla muutunud töötasu osaks.</w:t>
      </w:r>
      <w:r>
        <w:rPr>
          <w:rStyle w:val="FootnoteReference"/>
        </w:rPr>
        <w:footnoteReference w:id="9"/>
      </w:r>
      <w:r>
        <w:t xml:space="preserve"> Seega võib muudatus kaasa tuua vaidlusi ja ebaselgust ületunnitöö tasu suuruse määramisel, samuti võivad ületunnitööga kaasnevad kulud asutustele tõusta. Seetõttu on otstarbekas jätkata ATS-i eriregulatsiooniga. Lisaks toome välja, et vaba aja andmise ja töötasu mõiste sisustamisel kujundab praktikat Tööinspektsioon, mille teenistujatel on eriteadmised töölepingu seaduse kohaldamisel, kuid püüdvad ekspertkogemused avaliku teenistuse ametnike teenistussuhete kohaldamisel. Avaliku halduse ülesannete täitmisel on asutustel kohustus tagada avaliku halduse teenused optimaalsete ressurssidega.  Avaliku halduse ülesannete täitmise kohustusega ei pruugi olla ka ühildatav seletuskirja lk 27 põhimõte, mille kohaselt eeldab ületunnitöö hüvitamine rahas kokkulepet ametnikuga.  Teenistussuhted ei toimi kokkulepete alusel, vaid lähtuvalt avaliku halduse ülesannete täitmise vajadusest seaduses ettenähtud regulatsiooni alusel. Praktikas ei pruugi asutusel olla võimalik ületunnitööd hüvitada vabas ajas seoses vajadusega täita teenistusülesandeid. </w:t>
      </w:r>
    </w:p>
    <w:p w14:paraId="4CC7326B" w14:textId="77777777" w:rsidR="00FA264C" w:rsidRPr="006623C8" w:rsidRDefault="00FA264C" w:rsidP="00FA264C">
      <w:pPr>
        <w:pStyle w:val="ListParagraph"/>
        <w:numPr>
          <w:ilvl w:val="0"/>
          <w:numId w:val="0"/>
        </w:numPr>
        <w:ind w:left="360"/>
        <w:rPr>
          <w:b/>
          <w:bCs/>
        </w:rPr>
      </w:pPr>
    </w:p>
    <w:p w14:paraId="10E6151B" w14:textId="77777777" w:rsidR="00FA264C" w:rsidRDefault="00FA264C" w:rsidP="00FA264C">
      <w:pPr>
        <w:pStyle w:val="ListParagraph"/>
        <w:spacing w:after="160"/>
        <w:contextualSpacing/>
      </w:pPr>
      <w:r w:rsidRPr="004D4D80">
        <w:rPr>
          <w:b/>
          <w:bCs/>
        </w:rPr>
        <w:t xml:space="preserve">Eelnõu § 1 p 31 (ATS § 49 lg 12) </w:t>
      </w:r>
      <w:r>
        <w:rPr>
          <w:b/>
          <w:bCs/>
        </w:rPr>
        <w:t>–</w:t>
      </w:r>
      <w:r w:rsidRPr="004D4D80">
        <w:rPr>
          <w:b/>
          <w:bCs/>
        </w:rPr>
        <w:t xml:space="preserve"> </w:t>
      </w:r>
      <w:r w:rsidRPr="006623C8">
        <w:t>e</w:t>
      </w:r>
      <w:r>
        <w:t xml:space="preserve">elnõu esimese versiooni kooskõlastamisel tegi Justiits- ja Digiministeerium ettepaneku kaaluda ATS § 49 lg 6 p 1 analoogse sõnastuse lisamist § 49 lg 7 p 1-ga. Lisades sõna „kuni“ võimaldab hüvitise suurust kaaluda – osaline töövõimetus võib olla 5-%-95% ning seega kõigile võrdselt kahe aasta palga suurune hüvitis ei pruugi olla proportsionaalne.  Vanglatel on olnud praktiline juhtum, kus tööõnnetuse ja töö vahelisi seoseid hindav arst ei saanud välistada, et viga võis tuleneda tööst – 2 a hüvitist vs põhjendad ja kaalutled ja hüvitis võiks olla proportsionaalne nt 3 kuu palgaga. Ettepaneku mittearvestamist märkuste ja ettepanekute tabelis ei ole põhjendatud, palume täiendavalt kaaluda. </w:t>
      </w:r>
    </w:p>
    <w:p w14:paraId="65C4654D" w14:textId="77777777" w:rsidR="00FA264C" w:rsidRDefault="00FA264C" w:rsidP="00FA264C">
      <w:pPr>
        <w:pStyle w:val="ListParagraph"/>
        <w:numPr>
          <w:ilvl w:val="0"/>
          <w:numId w:val="0"/>
        </w:numPr>
        <w:ind w:left="360"/>
      </w:pPr>
    </w:p>
    <w:p w14:paraId="3A6F3987" w14:textId="77777777" w:rsidR="00FA264C" w:rsidRPr="00284E83" w:rsidRDefault="00FA264C" w:rsidP="00FA264C">
      <w:pPr>
        <w:pStyle w:val="ListParagraph"/>
        <w:rPr>
          <w:b/>
          <w:bCs/>
        </w:rPr>
      </w:pPr>
      <w:r>
        <w:rPr>
          <w:b/>
          <w:bCs/>
        </w:rPr>
        <w:t xml:space="preserve">Eelnõu </w:t>
      </w:r>
      <w:r w:rsidRPr="00284E83">
        <w:rPr>
          <w:b/>
          <w:bCs/>
        </w:rPr>
        <w:t>§ 1 p 3</w:t>
      </w:r>
      <w:r>
        <w:rPr>
          <w:b/>
          <w:bCs/>
        </w:rPr>
        <w:t>2</w:t>
      </w:r>
      <w:r w:rsidRPr="00284E83">
        <w:rPr>
          <w:b/>
          <w:bCs/>
        </w:rPr>
        <w:t xml:space="preserve"> (ATS § 49 lg 14 p 1 täiendamine) – </w:t>
      </w:r>
      <w:r w:rsidRPr="00FF33F9">
        <w:t>jätkuvalt</w:t>
      </w:r>
      <w:r w:rsidRPr="00284E83">
        <w:rPr>
          <w:b/>
          <w:bCs/>
        </w:rPr>
        <w:t xml:space="preserve"> </w:t>
      </w:r>
      <w:r w:rsidRPr="00FF33F9">
        <w:t>me</w:t>
      </w:r>
      <w:r>
        <w:t xml:space="preserve"> </w:t>
      </w:r>
      <w:r w:rsidRPr="00FF33F9">
        <w:t xml:space="preserve">ei toeta sätte muutmist. Kui ametnik on toime pannud süüteo, ei ole oluline, ka seda tehti tahtlikult või ettevaatamatusest </w:t>
      </w:r>
      <w:r>
        <w:t>–</w:t>
      </w:r>
      <w:r w:rsidRPr="00FF33F9">
        <w:t xml:space="preserve"> hüvitise</w:t>
      </w:r>
      <w:r>
        <w:t xml:space="preserve"> </w:t>
      </w:r>
      <w:r w:rsidRPr="00FF33F9">
        <w:t xml:space="preserve">maksmine ei ole kummalgi juhul põhjendatud. </w:t>
      </w:r>
      <w:r w:rsidRPr="00284E83">
        <w:t xml:space="preserve">Palume esile tuua praktikas tõusetunud probleemid, mis on viinud kõnesoleva ettepaneku tegemiseni. </w:t>
      </w:r>
    </w:p>
    <w:p w14:paraId="57FEC1DD" w14:textId="77777777" w:rsidR="00FA264C" w:rsidRPr="00284E83" w:rsidRDefault="00FA264C" w:rsidP="00FA264C">
      <w:pPr>
        <w:pStyle w:val="ListParagraph"/>
        <w:numPr>
          <w:ilvl w:val="0"/>
          <w:numId w:val="0"/>
        </w:numPr>
        <w:ind w:left="360"/>
        <w:rPr>
          <w:b/>
          <w:bCs/>
        </w:rPr>
      </w:pPr>
    </w:p>
    <w:p w14:paraId="6360229C" w14:textId="77777777" w:rsidR="00FA264C" w:rsidRPr="00284E83" w:rsidRDefault="00FA264C" w:rsidP="00FA264C">
      <w:pPr>
        <w:pStyle w:val="ListParagraph"/>
        <w:rPr>
          <w:b/>
          <w:bCs/>
        </w:rPr>
      </w:pPr>
      <w:r>
        <w:rPr>
          <w:b/>
          <w:bCs/>
        </w:rPr>
        <w:lastRenderedPageBreak/>
        <w:t xml:space="preserve">Eelnõu § 1 p 33 (ATS § 61 lg 5) – </w:t>
      </w:r>
      <w:r>
        <w:t xml:space="preserve">säte näeb ette muutuvpalga osakaalu tõstmise 30%-ni aastasest põhipalgast. Leiame, et pakutud muudatus ei ole kooskõlas eelnõu seletuskirjas väljendatud eesmärgiga </w:t>
      </w:r>
      <w:r w:rsidRPr="00E57D92">
        <w:rPr>
          <w:bCs/>
        </w:rPr>
        <w:t>aidata kaasa riigi ressursside otstarbekamale kasutamisele</w:t>
      </w:r>
      <w:r>
        <w:rPr>
          <w:bCs/>
        </w:rPr>
        <w:t xml:space="preserve">. Samas toetame ametnike õiguste suurendamist. </w:t>
      </w:r>
      <w:r>
        <w:t xml:space="preserve">Justiits- ja Digiministeeriumi hinnangul võib eelnõus pakutud säte viia ebavõrdse kohtlemiseni ametiasutuste vahel. Kui selle juurde jääda, siis peaks muudatus kohalduma kõikidele ametnikele. Seetõttu palume välja jätta tekstiosa „kui ametiasutus on sellised muutuvpalga maksmise tingimused palgajuhendis sätestanud“. Samuti palume sätte sõnastust täpsustada, et sellest selguks, millised on erakorralised asjaolud, millal muutuvpalka võib täiendavalt maksta. </w:t>
      </w:r>
    </w:p>
    <w:p w14:paraId="7A1CA704" w14:textId="77777777" w:rsidR="00FA264C" w:rsidRPr="003A2331" w:rsidRDefault="00FA264C" w:rsidP="00FA264C">
      <w:pPr>
        <w:rPr>
          <w:b/>
          <w:bCs/>
        </w:rPr>
      </w:pPr>
    </w:p>
    <w:p w14:paraId="38403752" w14:textId="77777777" w:rsidR="00FA264C" w:rsidRDefault="00FA264C" w:rsidP="00FA264C">
      <w:pPr>
        <w:pStyle w:val="ListParagraph"/>
      </w:pPr>
      <w:r w:rsidRPr="008D00DD">
        <w:rPr>
          <w:b/>
          <w:bCs/>
        </w:rPr>
        <w:t>Eelnõu § 1 p 37 (ATS § 65)</w:t>
      </w:r>
      <w:r>
        <w:t xml:space="preserve"> – seletuskirjas on ATS § 65 uue sõnastuse kohta selgitatud mh järgmist: </w:t>
      </w:r>
    </w:p>
    <w:p w14:paraId="129709CD" w14:textId="77777777" w:rsidR="00FA264C" w:rsidRDefault="00FA264C" w:rsidP="00FA264C">
      <w:pPr>
        <w:pStyle w:val="ListParagraph"/>
        <w:numPr>
          <w:ilvl w:val="0"/>
          <w:numId w:val="0"/>
        </w:numPr>
        <w:ind w:left="360"/>
      </w:pPr>
    </w:p>
    <w:p w14:paraId="475FBC1D" w14:textId="77777777" w:rsidR="00FA264C" w:rsidRPr="0032097D" w:rsidRDefault="00FA264C" w:rsidP="00FA264C">
      <w:pPr>
        <w:ind w:left="360"/>
        <w:jc w:val="both"/>
        <w:rPr>
          <w:i/>
          <w:iCs/>
        </w:rPr>
      </w:pPr>
      <w:r w:rsidRPr="0032097D">
        <w:rPr>
          <w:i/>
          <w:iCs/>
        </w:rPr>
        <w:t>Riive on vähene, kui seda üldse on. Jääb siiski võimalus, et kuigi avalikult ei ole otseselt võimalik isikustamata palgaandmeid hiljem konkreetse isikuga uuesti kokku viia, võib siiski, teades teenistuja teenistuskohta, aimata tema töötasu. Kuigi see jääb oletuse tasemele, võib see siiski väikese riive kaasa tuua. Üldises plaanis aga sekkumine isiku eraellu väheneb.</w:t>
      </w:r>
    </w:p>
    <w:p w14:paraId="3EC078AE" w14:textId="77777777" w:rsidR="00FA264C" w:rsidRPr="00450564" w:rsidRDefault="00FA264C" w:rsidP="00FA264C">
      <w:pPr>
        <w:ind w:left="360"/>
        <w:jc w:val="both"/>
      </w:pPr>
    </w:p>
    <w:p w14:paraId="78E2845F" w14:textId="77777777" w:rsidR="00FA264C" w:rsidRPr="00450564" w:rsidRDefault="00FA264C" w:rsidP="00FA264C">
      <w:pPr>
        <w:ind w:left="360"/>
        <w:jc w:val="both"/>
      </w:pPr>
      <w:r w:rsidRPr="00450564">
        <w:t xml:space="preserve">Juhime tähelepanu, et hoolimata </w:t>
      </w:r>
      <w:r>
        <w:t xml:space="preserve">sellest, et </w:t>
      </w:r>
      <w:r w:rsidRPr="00450564">
        <w:t>palgaandme</w:t>
      </w:r>
      <w:r>
        <w:t>d</w:t>
      </w:r>
      <w:r w:rsidRPr="00450564">
        <w:t xml:space="preserve"> avalikusta</w:t>
      </w:r>
      <w:r>
        <w:t xml:space="preserve">takse üksnes </w:t>
      </w:r>
      <w:r w:rsidRPr="00450564">
        <w:t>ametikoha põhiselt</w:t>
      </w:r>
      <w:r>
        <w:t>,</w:t>
      </w:r>
      <w:r w:rsidRPr="00450564">
        <w:t xml:space="preserve"> on jätkuvalt tegu siiski isikuandmete avaldamisega. Seda eelkõige põhjusel, et üldiselt on ametnike kontaktandmed, koos teenistuskoha ja struktuuriükusega avalikustatud asutuse veebilehel ning nii on väga lihtsalt võimalik kokku viia ametniku nimi </w:t>
      </w:r>
      <w:r>
        <w:t xml:space="preserve">ja </w:t>
      </w:r>
      <w:r w:rsidRPr="00450564">
        <w:t>avalikustatud palgaandme</w:t>
      </w:r>
      <w:r>
        <w:t>d</w:t>
      </w:r>
      <w:r w:rsidRPr="00450564">
        <w:t xml:space="preserve">. </w:t>
      </w:r>
      <w:r>
        <w:t xml:space="preserve">Eriti lihtne on see unikaalsete nimetustega ametikohtade puhul, nt rohedigi projektijuht, digikukru projektijuht vmt. </w:t>
      </w:r>
      <w:r w:rsidRPr="00450564">
        <w:t xml:space="preserve">Seega kahjustab </w:t>
      </w:r>
      <w:r>
        <w:t xml:space="preserve">eelnõus </w:t>
      </w:r>
      <w:r w:rsidRPr="00450564">
        <w:t xml:space="preserve">väljapakutud palgaandmete avalikustamise viis jätkuvalt oluliselt isikute eraelu. </w:t>
      </w:r>
    </w:p>
    <w:p w14:paraId="24FD368F" w14:textId="77777777" w:rsidR="00FA264C" w:rsidRPr="00450564" w:rsidRDefault="00FA264C" w:rsidP="00FA264C">
      <w:pPr>
        <w:ind w:left="360"/>
        <w:jc w:val="both"/>
      </w:pPr>
    </w:p>
    <w:p w14:paraId="2122E424" w14:textId="77777777" w:rsidR="00FA264C" w:rsidRPr="00450564" w:rsidRDefault="00FA264C" w:rsidP="00FA264C">
      <w:pPr>
        <w:ind w:left="360"/>
        <w:jc w:val="both"/>
      </w:pPr>
      <w:r w:rsidRPr="00450564">
        <w:t>Arvestades riivet isikute eraelu puutumatusele</w:t>
      </w:r>
      <w:r>
        <w:t>,</w:t>
      </w:r>
      <w:r w:rsidRPr="00450564">
        <w:t xml:space="preserve"> eelistab JDM lahendust, mille kohaselt oleks palgaandmete avalikustamisel üldistusaste suurem kui eelnõus väljapakutu, näiteks on toodud struktuurüksus ja palgavahemik, kuhu sinna kuuluvate ametnike palgad jäävad</w:t>
      </w:r>
      <w:r>
        <w:t>,</w:t>
      </w:r>
      <w:r w:rsidRPr="00450564">
        <w:t xml:space="preserve"> või siis struktuurüksuses olevate ametnike arv ja nende palk kokku.</w:t>
      </w:r>
    </w:p>
    <w:p w14:paraId="52970AE6" w14:textId="77777777" w:rsidR="00FA264C" w:rsidRPr="00450564" w:rsidRDefault="00FA264C" w:rsidP="00FA264C">
      <w:pPr>
        <w:ind w:left="360"/>
        <w:jc w:val="both"/>
      </w:pPr>
    </w:p>
    <w:p w14:paraId="078A00E2" w14:textId="77777777" w:rsidR="00FA264C" w:rsidRDefault="00FA264C" w:rsidP="00FA264C">
      <w:pPr>
        <w:ind w:left="360"/>
        <w:jc w:val="both"/>
      </w:pPr>
      <w:r w:rsidRPr="00450564">
        <w:t xml:space="preserve">Kui aga </w:t>
      </w:r>
      <w:r>
        <w:t>eelnõu koostajad otsustavad</w:t>
      </w:r>
      <w:r w:rsidRPr="00450564">
        <w:t xml:space="preserve"> jääda seni pakutud lahenduse juurde, siis palume nii eelnõu kui ka seletuskirja täiendada. Avaliku teabe seaduse § 3</w:t>
      </w:r>
      <w:r w:rsidRPr="0032097D">
        <w:rPr>
          <w:vertAlign w:val="superscript"/>
        </w:rPr>
        <w:t>1</w:t>
      </w:r>
      <w:r w:rsidRPr="00450564">
        <w:t xml:space="preserve"> lg 8 kohaselt tuleb seaduse alusel avalikustatavad isikuandmed anda üldiseks kasutamiseks viisil, mis ei kahjusta oluliselt isiku eraelu puutumatust. Sätte kehtestamisel on seletuskirjas öeldud</w:t>
      </w:r>
      <w:r>
        <w:t>:</w:t>
      </w:r>
      <w:r w:rsidRPr="00450564">
        <w:t xml:space="preserve"> </w:t>
      </w:r>
      <w:r w:rsidRPr="00617C39">
        <w:rPr>
          <w:i/>
          <w:iCs/>
        </w:rPr>
        <w:t>„et vältida isiku eraelu puutumatuse olulist kahjustamist, peaks teabevaldajal olema võimalik nt kirjeldatud juhtudel kaaluda võimalust seada piiranguid avaandmete taaskasutamise viisile. See tähendab, et nimetatud andmed on küll selleks ette nähtud veebilehelt nähtavad, ent mitte hulgiallalaaditavad. Lisaks andmete hulgiallalaadimise piirangule võib teabevaldaja kasutusele võtta ka teisi meetmeid, et isikuandmete taaskasutamist piirata. Näiteks andmetele väliste otsingumootorite ligipääsu piiramine, üksikdokumentide allalaadimise takistamine või andmete tähtaegne avaldamine (kui see tuleneb seadusest).“</w:t>
      </w:r>
      <w:r w:rsidRPr="00450564">
        <w:t xml:space="preserve"> </w:t>
      </w:r>
    </w:p>
    <w:p w14:paraId="5450A415" w14:textId="77777777" w:rsidR="00FA264C" w:rsidRDefault="00FA264C" w:rsidP="00FA264C">
      <w:pPr>
        <w:ind w:left="360"/>
        <w:jc w:val="both"/>
      </w:pPr>
    </w:p>
    <w:p w14:paraId="34B3AC7F" w14:textId="77777777" w:rsidR="00FA264C" w:rsidRPr="00450564" w:rsidRDefault="00FA264C" w:rsidP="00FA264C">
      <w:pPr>
        <w:ind w:left="360"/>
        <w:jc w:val="both"/>
      </w:pPr>
      <w:r w:rsidRPr="00450564">
        <w:t xml:space="preserve">Leiame, et eelnõus pakutud viisil palgaandmete avalikustamise puhul on vaja kasutada AvTSis nimetatud täiendavaid meetmeid. Esiteks näeme vajadust seaduse tasandil reguleerida ka isikuandmete avaldamise tähtaegadega seonduv ning teiseks palume seletuskirjas täpsustada, milliseid muid meetmeid on plaanis rakendada isikute eraelu puutumatuse olulise kahjustamise vältimiseks. </w:t>
      </w:r>
    </w:p>
    <w:p w14:paraId="6BED4912" w14:textId="77777777" w:rsidR="00FA264C" w:rsidRPr="00C560CE" w:rsidRDefault="00FA264C" w:rsidP="00FA264C">
      <w:pPr>
        <w:pStyle w:val="NoSpacing"/>
        <w:ind w:left="360"/>
        <w:jc w:val="both"/>
        <w:rPr>
          <w:rFonts w:cs="Arial"/>
        </w:rPr>
      </w:pPr>
    </w:p>
    <w:p w14:paraId="09191594" w14:textId="77777777" w:rsidR="00FA264C" w:rsidRPr="00531D76" w:rsidRDefault="00FA264C" w:rsidP="00FA264C">
      <w:pPr>
        <w:pStyle w:val="ListParagraph"/>
        <w:rPr>
          <w:b/>
          <w:bCs/>
          <w:vanish/>
          <w:specVanish/>
        </w:rPr>
      </w:pPr>
      <w:r w:rsidRPr="00531D76">
        <w:rPr>
          <w:b/>
          <w:bCs/>
        </w:rPr>
        <w:t xml:space="preserve">Eelnõu </w:t>
      </w:r>
    </w:p>
    <w:p w14:paraId="225D80BF" w14:textId="77777777" w:rsidR="00FA264C" w:rsidRPr="00FB2B2B" w:rsidRDefault="00FA264C" w:rsidP="00FA264C">
      <w:pPr>
        <w:pStyle w:val="ListParagraph"/>
        <w:rPr>
          <w:b/>
          <w:bCs/>
        </w:rPr>
      </w:pPr>
      <w:r w:rsidRPr="00C118CC">
        <w:rPr>
          <w:b/>
          <w:bCs/>
        </w:rPr>
        <w:t xml:space="preserve">§ 1 p 36 (ATS § 65 lg 7) – </w:t>
      </w:r>
      <w:r>
        <w:t xml:space="preserve">sätte kohaselt kohaldatakse samas paragrahvis sätestatud töötasu avalikustamise regulatsiooni ka ATS § 6 lg 7 nimetatud isikutele (poliitilistele nõunikele). Kuivõrd eelnõu kohase ATS § 65 eelnevate lõigete kohaselt avalikustatakse kõigi ametiasutuse töötajate palgaandmed, siis palume hinnata, kas lg 7 on üldse vajalik. </w:t>
      </w:r>
    </w:p>
    <w:p w14:paraId="7820D8C7" w14:textId="77777777" w:rsidR="00FA264C" w:rsidRDefault="00FA264C" w:rsidP="00FA264C">
      <w:pPr>
        <w:pStyle w:val="ListParagraph"/>
        <w:numPr>
          <w:ilvl w:val="0"/>
          <w:numId w:val="0"/>
        </w:numPr>
        <w:ind w:left="360"/>
        <w:rPr>
          <w:b/>
          <w:bCs/>
        </w:rPr>
      </w:pPr>
    </w:p>
    <w:p w14:paraId="1F294FBE" w14:textId="77777777" w:rsidR="00FA264C" w:rsidRPr="007E656E" w:rsidRDefault="00FA264C" w:rsidP="00FA264C">
      <w:pPr>
        <w:pStyle w:val="ListParagraph"/>
        <w:rPr>
          <w:b/>
          <w:bCs/>
        </w:rPr>
      </w:pPr>
      <w:r>
        <w:rPr>
          <w:b/>
          <w:bCs/>
        </w:rPr>
        <w:t>Eelnõu § 1 p 38 ja 40 (ATS § 87 lg 1 ja § 96</w:t>
      </w:r>
      <w:r w:rsidRPr="007E656E">
        <w:rPr>
          <w:b/>
          <w:bCs/>
          <w:vertAlign w:val="superscript"/>
        </w:rPr>
        <w:t>1</w:t>
      </w:r>
      <w:r>
        <w:rPr>
          <w:b/>
          <w:bCs/>
        </w:rPr>
        <w:t xml:space="preserve"> lg 1) – </w:t>
      </w:r>
      <w:r>
        <w:t xml:space="preserve">eelnõu kohase muudatuse kohaselt võib asendatakse ametniku soovil teenistusest vabastamisel taotluse kirjalik vorm kirjalikku taasesitamist võimaldava vormiga. Kõnealust muudatust ei saa toetada. </w:t>
      </w:r>
      <w:r w:rsidRPr="00FB2B2B">
        <w:rPr>
          <w:bCs/>
        </w:rPr>
        <w:t xml:space="preserve">Kui ametnik asub teenistusse avalduse esitamisega (ATS § 25 lg 1 p 1), võiks ka vabastamine toimuda samamoodi. Seletuskirjas on viidatud, et riigi infosüsteemid ei toeta allkirjastatud taotluse esitamise võimalust (lk 25). Arusaamatu, kuidas on seni sätet kohaldatud, kui arvestada sellega, et ATS on kehtinud </w:t>
      </w:r>
      <w:r w:rsidRPr="00FB2B2B">
        <w:rPr>
          <w:bCs/>
        </w:rPr>
        <w:lastRenderedPageBreak/>
        <w:t>üle 10 aasta. Lisaks, kui infosüsteemid ei toeta seaduse järgimist, on võimalik teha muudatusi infosüsteemides.</w:t>
      </w:r>
    </w:p>
    <w:p w14:paraId="0EE4F2D6" w14:textId="77777777" w:rsidR="00FA264C" w:rsidRPr="008C4433" w:rsidRDefault="00FA264C" w:rsidP="00FA264C">
      <w:pPr>
        <w:pStyle w:val="NoSpacing"/>
        <w:ind w:left="360"/>
        <w:jc w:val="both"/>
        <w:rPr>
          <w:rFonts w:cs="Arial"/>
        </w:rPr>
      </w:pPr>
    </w:p>
    <w:p w14:paraId="0044A1CF" w14:textId="77777777" w:rsidR="00FA264C" w:rsidRPr="00E81E70" w:rsidRDefault="00FA264C" w:rsidP="00FA264C">
      <w:pPr>
        <w:pStyle w:val="ListParagraph"/>
        <w:rPr>
          <w:rStyle w:val="cf01"/>
          <w:rFonts w:ascii="Arial" w:hAnsi="Arial" w:cs="Arial"/>
          <w:sz w:val="20"/>
          <w:szCs w:val="20"/>
        </w:rPr>
      </w:pPr>
      <w:r w:rsidRPr="00E81E70">
        <w:rPr>
          <w:rStyle w:val="cf01"/>
          <w:rFonts w:ascii="Arial" w:hAnsi="Arial" w:cs="Arial"/>
          <w:b/>
          <w:bCs/>
          <w:sz w:val="20"/>
          <w:szCs w:val="20"/>
        </w:rPr>
        <w:t>Eelnõu § 1 p 41 (ATS § 96</w:t>
      </w:r>
      <w:r w:rsidRPr="00E81E70">
        <w:rPr>
          <w:rStyle w:val="cf01"/>
          <w:rFonts w:ascii="Arial" w:hAnsi="Arial" w:cs="Arial"/>
          <w:b/>
          <w:bCs/>
          <w:sz w:val="20"/>
          <w:szCs w:val="20"/>
          <w:vertAlign w:val="superscript"/>
        </w:rPr>
        <w:t>1</w:t>
      </w:r>
      <w:r w:rsidRPr="00E81E70">
        <w:rPr>
          <w:rStyle w:val="cf01"/>
          <w:rFonts w:ascii="Arial" w:hAnsi="Arial" w:cs="Arial"/>
          <w:b/>
          <w:bCs/>
          <w:sz w:val="20"/>
          <w:szCs w:val="20"/>
        </w:rPr>
        <w:t xml:space="preserve">) </w:t>
      </w:r>
      <w:r w:rsidRPr="00E81E70">
        <w:rPr>
          <w:rStyle w:val="cf01"/>
          <w:rFonts w:ascii="Arial" w:hAnsi="Arial" w:cs="Arial"/>
          <w:sz w:val="20"/>
          <w:szCs w:val="20"/>
        </w:rPr>
        <w:t xml:space="preserve">– </w:t>
      </w:r>
      <w:r>
        <w:rPr>
          <w:rStyle w:val="cf01"/>
          <w:rFonts w:ascii="Arial" w:hAnsi="Arial" w:cs="Arial"/>
          <w:sz w:val="20"/>
          <w:szCs w:val="20"/>
        </w:rPr>
        <w:t>lõike</w:t>
      </w:r>
      <w:r w:rsidRPr="00E81E70">
        <w:rPr>
          <w:rStyle w:val="cf01"/>
          <w:rFonts w:ascii="Arial" w:hAnsi="Arial" w:cs="Arial"/>
          <w:sz w:val="20"/>
          <w:szCs w:val="20"/>
        </w:rPr>
        <w:t xml:space="preserve"> 1 kohaselt võivad ametnik ja ametiasutus kokku leppida, et ametnik vabastatakse teenistusest. Märgime, et avalik teenistus ei toimi kokkulepete kaudu, vaid asutuse suunatud tegevuse alusel. </w:t>
      </w:r>
    </w:p>
    <w:p w14:paraId="6400402A" w14:textId="77777777" w:rsidR="00FA264C" w:rsidRPr="00E81E70" w:rsidRDefault="00FA264C" w:rsidP="00FA264C">
      <w:pPr>
        <w:pStyle w:val="ListParagraph"/>
        <w:numPr>
          <w:ilvl w:val="0"/>
          <w:numId w:val="0"/>
        </w:numPr>
        <w:ind w:left="360"/>
        <w:rPr>
          <w:rStyle w:val="cf01"/>
          <w:rFonts w:ascii="Arial" w:hAnsi="Arial" w:cs="Arial"/>
          <w:sz w:val="20"/>
          <w:szCs w:val="20"/>
        </w:rPr>
      </w:pPr>
    </w:p>
    <w:p w14:paraId="78AA6D6A" w14:textId="77777777" w:rsidR="00FA264C" w:rsidRPr="00E81E70" w:rsidRDefault="00FA264C" w:rsidP="00FA264C">
      <w:pPr>
        <w:pStyle w:val="ListParagraph"/>
        <w:numPr>
          <w:ilvl w:val="0"/>
          <w:numId w:val="0"/>
        </w:numPr>
        <w:ind w:left="360"/>
        <w:rPr>
          <w:rStyle w:val="cf01"/>
          <w:rFonts w:ascii="Arial" w:hAnsi="Arial" w:cs="Arial"/>
          <w:b/>
          <w:bCs/>
          <w:sz w:val="20"/>
          <w:szCs w:val="20"/>
        </w:rPr>
      </w:pPr>
      <w:r w:rsidRPr="00E81E70">
        <w:rPr>
          <w:rStyle w:val="cf01"/>
          <w:rFonts w:ascii="Arial" w:hAnsi="Arial" w:cs="Arial"/>
          <w:sz w:val="20"/>
          <w:szCs w:val="20"/>
        </w:rPr>
        <w:t xml:space="preserve">Ebaselgeks jääb pakutava regulatsiooni seos katseaja regulatsiooniga. Sätte sõnastus ei välista, et uut teenistusest vabastamise alust hakatakse rakendama kui pikemat katseaega, kus juht saab kuue kuu järel otsustada, et koostöö siiski ei laabu. </w:t>
      </w:r>
    </w:p>
    <w:p w14:paraId="3D3461C9" w14:textId="77777777" w:rsidR="00FA264C" w:rsidRPr="00E81E70" w:rsidRDefault="00FA264C" w:rsidP="00FA264C">
      <w:pPr>
        <w:pStyle w:val="ListParagraph"/>
        <w:numPr>
          <w:ilvl w:val="0"/>
          <w:numId w:val="0"/>
        </w:numPr>
        <w:ind w:left="360"/>
        <w:rPr>
          <w:rStyle w:val="cf01"/>
          <w:rFonts w:ascii="Arial" w:hAnsi="Arial" w:cs="Arial"/>
          <w:b/>
          <w:bCs/>
          <w:sz w:val="20"/>
          <w:szCs w:val="20"/>
        </w:rPr>
      </w:pPr>
    </w:p>
    <w:p w14:paraId="1D98339D" w14:textId="77777777" w:rsidR="00FA264C" w:rsidRPr="00E81E70" w:rsidRDefault="00FA264C" w:rsidP="00FA264C">
      <w:pPr>
        <w:pStyle w:val="ListParagraph"/>
        <w:rPr>
          <w:rStyle w:val="cf01"/>
          <w:rFonts w:ascii="Arial" w:hAnsi="Arial" w:cs="Arial"/>
          <w:b/>
          <w:bCs/>
          <w:sz w:val="20"/>
          <w:szCs w:val="20"/>
        </w:rPr>
      </w:pPr>
      <w:r w:rsidRPr="00E81E70">
        <w:rPr>
          <w:rStyle w:val="cf01"/>
          <w:rFonts w:ascii="Arial" w:hAnsi="Arial" w:cs="Arial"/>
          <w:b/>
          <w:bCs/>
          <w:sz w:val="20"/>
          <w:szCs w:val="20"/>
        </w:rPr>
        <w:t>Eelnõu § 1 p 41 (ATS § 96</w:t>
      </w:r>
      <w:r w:rsidRPr="00E81E70">
        <w:rPr>
          <w:rStyle w:val="cf01"/>
          <w:rFonts w:ascii="Arial" w:hAnsi="Arial" w:cs="Arial"/>
          <w:b/>
          <w:bCs/>
          <w:sz w:val="20"/>
          <w:szCs w:val="20"/>
          <w:vertAlign w:val="superscript"/>
        </w:rPr>
        <w:t>1</w:t>
      </w:r>
      <w:r w:rsidRPr="00E81E70">
        <w:rPr>
          <w:rStyle w:val="cf01"/>
          <w:rFonts w:ascii="Arial" w:hAnsi="Arial" w:cs="Arial"/>
          <w:b/>
          <w:bCs/>
          <w:sz w:val="20"/>
          <w:szCs w:val="20"/>
        </w:rPr>
        <w:t xml:space="preserve">) – </w:t>
      </w:r>
      <w:r w:rsidRPr="00E81E70">
        <w:rPr>
          <w:rStyle w:val="cf01"/>
          <w:rFonts w:ascii="Arial" w:hAnsi="Arial" w:cs="Arial"/>
          <w:sz w:val="20"/>
          <w:szCs w:val="20"/>
        </w:rPr>
        <w:t xml:space="preserve">lõike 2 kohaselt võib ametniku saata koolitusele, kui ametniku ja juhi koostöö ei laabu. Jääb ebaselgeks, miks pannakse kohustus koolitusele minna vaid ametnikule. Koostöö on kahepoolne ja koostöö probleemid võivad tuleneda ka juhi käitumisest. Niisugusel juhul ei tooks ametniku koolitamne kaasa vajalikku muutust. </w:t>
      </w:r>
    </w:p>
    <w:p w14:paraId="7300CE78" w14:textId="77777777" w:rsidR="00FA264C" w:rsidRPr="003E370A" w:rsidRDefault="00FA264C" w:rsidP="00FA264C">
      <w:pPr>
        <w:pStyle w:val="pf0"/>
        <w:ind w:left="360"/>
        <w:jc w:val="both"/>
        <w:rPr>
          <w:rStyle w:val="cf01"/>
          <w:rFonts w:ascii="Arial" w:eastAsiaTheme="majorEastAsia" w:hAnsi="Arial" w:cs="Arial"/>
          <w:sz w:val="20"/>
          <w:szCs w:val="20"/>
        </w:rPr>
      </w:pPr>
      <w:r>
        <w:rPr>
          <w:rStyle w:val="cf01"/>
          <w:rFonts w:ascii="Arial" w:eastAsiaTheme="majorEastAsia" w:hAnsi="Arial" w:cs="Arial"/>
          <w:sz w:val="20"/>
          <w:szCs w:val="20"/>
        </w:rPr>
        <w:t>Lõike 6 kohaselt võib koostöö mittelaabumise tõttu teenistusest vabastatud ametnikule maksta hüvitist. Ebaselgeks jääb, k</w:t>
      </w:r>
      <w:r w:rsidRPr="003E370A">
        <w:rPr>
          <w:rStyle w:val="cf01"/>
          <w:rFonts w:ascii="Arial" w:eastAsiaTheme="majorEastAsia" w:hAnsi="Arial" w:cs="Arial"/>
          <w:sz w:val="20"/>
          <w:szCs w:val="20"/>
        </w:rPr>
        <w:t>as tekib koondamisolukord ja ametnik saab töötuskindlustushüvitist</w:t>
      </w:r>
      <w:r>
        <w:rPr>
          <w:rStyle w:val="cf01"/>
          <w:rFonts w:ascii="Arial" w:eastAsiaTheme="majorEastAsia" w:hAnsi="Arial" w:cs="Arial"/>
          <w:sz w:val="20"/>
          <w:szCs w:val="20"/>
        </w:rPr>
        <w:t>.</w:t>
      </w:r>
      <w:r w:rsidRPr="003E370A">
        <w:rPr>
          <w:rStyle w:val="cf01"/>
          <w:rFonts w:ascii="Arial" w:eastAsiaTheme="majorEastAsia" w:hAnsi="Arial" w:cs="Arial"/>
          <w:sz w:val="20"/>
          <w:szCs w:val="20"/>
        </w:rPr>
        <w:t xml:space="preserve"> Töötuskindlustus</w:t>
      </w:r>
      <w:r>
        <w:rPr>
          <w:rStyle w:val="cf01"/>
          <w:rFonts w:ascii="Arial" w:eastAsiaTheme="majorEastAsia" w:hAnsi="Arial" w:cs="Arial"/>
          <w:sz w:val="20"/>
          <w:szCs w:val="20"/>
        </w:rPr>
        <w:t xml:space="preserve">e </w:t>
      </w:r>
      <w:r w:rsidRPr="003E370A">
        <w:rPr>
          <w:rStyle w:val="cf01"/>
          <w:rFonts w:ascii="Arial" w:eastAsiaTheme="majorEastAsia" w:hAnsi="Arial" w:cs="Arial"/>
          <w:sz w:val="20"/>
          <w:szCs w:val="20"/>
        </w:rPr>
        <w:t xml:space="preserve">seaduse </w:t>
      </w:r>
      <w:r>
        <w:rPr>
          <w:rStyle w:val="cf01"/>
          <w:rFonts w:ascii="Arial" w:eastAsiaTheme="majorEastAsia" w:hAnsi="Arial" w:cs="Arial"/>
          <w:sz w:val="20"/>
          <w:szCs w:val="20"/>
        </w:rPr>
        <w:t xml:space="preserve">vastavasisulist muudatust eelnõu ei sisalda. </w:t>
      </w:r>
      <w:r>
        <w:rPr>
          <w:rFonts w:ascii="Arial" w:hAnsi="Arial" w:cs="Arial"/>
          <w:bCs/>
          <w:sz w:val="20"/>
          <w:szCs w:val="20"/>
        </w:rPr>
        <w:t>A</w:t>
      </w:r>
      <w:r w:rsidRPr="003E370A">
        <w:rPr>
          <w:rFonts w:ascii="Arial" w:hAnsi="Arial" w:cs="Arial"/>
          <w:bCs/>
          <w:sz w:val="20"/>
          <w:szCs w:val="20"/>
        </w:rPr>
        <w:t xml:space="preserve">rvestades eelnõu eesmärki aidata kaasa riigi ressursside otstarbekamale kasutamisele, jääb </w:t>
      </w:r>
      <w:r w:rsidRPr="003E370A">
        <w:rPr>
          <w:rFonts w:ascii="Arial" w:hAnsi="Arial"/>
          <w:sz w:val="20"/>
          <w:szCs w:val="20"/>
        </w:rPr>
        <w:t xml:space="preserve">arusaamatuks, millistel kaalutlustel soovitakse võtta riigile uusi rahalise kohustusi ametnikele vabastamishüvitiste maksmise näol. Tegemist on ettepanekuga, mis läheb selgelt vastuollu käesoleval ajal valitud säästliku ja kulusid kokkuhoidva eelarvepoliitika eesmärkidega. Kui praktikas on tõepoolest kerkinud konkreetsed probleemid olukorras, kus riik tahab lahkuvale ametnikule maksta täiendavat tasu või hüvitist, siis peaks seda selgelt põhjenduste ja andmetega ära näitama. </w:t>
      </w:r>
      <w:r w:rsidRPr="003E370A">
        <w:rPr>
          <w:rFonts w:ascii="Arial" w:hAnsi="Arial" w:cs="Arial"/>
          <w:bCs/>
          <w:sz w:val="20"/>
          <w:szCs w:val="20"/>
        </w:rPr>
        <w:t>Lisaks nõrgestab ametniku teenistussuhte kindlust, sest võib ametniku nö kinni maksta, et ta lahkuks omal soovil.</w:t>
      </w:r>
    </w:p>
    <w:p w14:paraId="00FDD9E4" w14:textId="77777777" w:rsidR="00FA264C" w:rsidRPr="00E81E70" w:rsidRDefault="00FA264C" w:rsidP="00FA264C">
      <w:pPr>
        <w:pStyle w:val="ListParagraph"/>
        <w:rPr>
          <w:rStyle w:val="cf01"/>
          <w:rFonts w:ascii="Arial" w:hAnsi="Arial" w:cs="Arial"/>
          <w:b/>
          <w:bCs/>
          <w:sz w:val="20"/>
          <w:szCs w:val="20"/>
        </w:rPr>
      </w:pPr>
      <w:r w:rsidRPr="00E81E70">
        <w:rPr>
          <w:rStyle w:val="cf01"/>
          <w:rFonts w:ascii="Arial" w:hAnsi="Arial" w:cs="Arial"/>
          <w:b/>
          <w:bCs/>
          <w:sz w:val="20"/>
          <w:szCs w:val="20"/>
        </w:rPr>
        <w:t xml:space="preserve">Eelnõu § 1 p 42 (ATS § 100 lg 1) – </w:t>
      </w:r>
      <w:r w:rsidRPr="00E81E70">
        <w:rPr>
          <w:rStyle w:val="cf01"/>
          <w:rFonts w:ascii="Arial" w:hAnsi="Arial" w:cs="Arial"/>
          <w:sz w:val="20"/>
          <w:szCs w:val="20"/>
        </w:rPr>
        <w:t xml:space="preserve">säte näeb ette teenistusest vabastamise piirangud. Märgime, et analoogse sisuga TLS § 92 lg 2 näeb ette piirangu ka alla kolmeaastast last kasvatava töötaja töölepingu lõpetamisele, kuid eelnõu kohases ATS § 100 lg 1 seda ei sisalda. See toob kaasa põhjendamatu ebavõrdse kohtlemise. Palume sätet täiendada, lisades sinna ka erandi alla kolmeaastast last kasvatava ametniku kohta. </w:t>
      </w:r>
    </w:p>
    <w:p w14:paraId="259CC2E4" w14:textId="77777777" w:rsidR="00FA264C" w:rsidRPr="00E81E70" w:rsidRDefault="00FA264C" w:rsidP="00FA264C">
      <w:pPr>
        <w:pStyle w:val="ListParagraph"/>
        <w:numPr>
          <w:ilvl w:val="0"/>
          <w:numId w:val="0"/>
        </w:numPr>
        <w:ind w:left="360"/>
        <w:rPr>
          <w:rStyle w:val="cf01"/>
          <w:rFonts w:ascii="Arial" w:hAnsi="Arial" w:cs="Arial"/>
          <w:b/>
          <w:bCs/>
          <w:sz w:val="20"/>
          <w:szCs w:val="20"/>
        </w:rPr>
      </w:pPr>
    </w:p>
    <w:p w14:paraId="09ED6E1D" w14:textId="77777777" w:rsidR="00FA264C" w:rsidRPr="00E81E70" w:rsidRDefault="00FA264C" w:rsidP="00FA264C">
      <w:pPr>
        <w:pStyle w:val="ListParagraph"/>
        <w:rPr>
          <w:rFonts w:eastAsiaTheme="majorEastAsia"/>
        </w:rPr>
      </w:pPr>
      <w:r w:rsidRPr="00E81E70">
        <w:rPr>
          <w:rStyle w:val="cf01"/>
          <w:rFonts w:ascii="Arial" w:eastAsiaTheme="majorEastAsia" w:hAnsi="Arial" w:cs="Arial"/>
          <w:b/>
          <w:bCs/>
          <w:sz w:val="20"/>
          <w:szCs w:val="20"/>
        </w:rPr>
        <w:t>Eelnõu § 1 p 44 (ATS § 134</w:t>
      </w:r>
      <w:r w:rsidRPr="00E81E70">
        <w:rPr>
          <w:rStyle w:val="cf01"/>
          <w:rFonts w:ascii="Arial" w:eastAsiaTheme="majorEastAsia" w:hAnsi="Arial" w:cs="Arial"/>
          <w:b/>
          <w:bCs/>
          <w:sz w:val="20"/>
          <w:szCs w:val="20"/>
          <w:vertAlign w:val="superscript"/>
        </w:rPr>
        <w:t>10</w:t>
      </w:r>
      <w:r w:rsidRPr="00E81E70">
        <w:rPr>
          <w:rStyle w:val="cf01"/>
          <w:rFonts w:ascii="Arial" w:eastAsiaTheme="majorEastAsia" w:hAnsi="Arial" w:cs="Arial"/>
          <w:b/>
          <w:bCs/>
          <w:sz w:val="20"/>
          <w:szCs w:val="20"/>
        </w:rPr>
        <w:t>)</w:t>
      </w:r>
      <w:r w:rsidRPr="00E81E70">
        <w:rPr>
          <w:rStyle w:val="cf01"/>
          <w:rFonts w:ascii="Arial" w:eastAsiaTheme="majorEastAsia" w:hAnsi="Arial" w:cs="Arial"/>
          <w:sz w:val="20"/>
          <w:szCs w:val="20"/>
        </w:rPr>
        <w:t xml:space="preserve"> – toetame eelnõusse järelhindamise kavandamist. Samas leiame, et eelnõus kavandatud ATS § 61 muudatuse järelhindamine on liiga kitsas, eriti olukorras, kus olulisemat mõju avaldavad teised muudatused (nt konkursita värbamine, ametnike-töötajate liikumine, kokkuleppel vabastamine ja selle eest hüvitise maksmine). Seega teeme ettepaneku läbi viia järelhindamine avaliku teenistuse atraktiivsusele kogu eelnõu ulatuses.</w:t>
      </w:r>
    </w:p>
    <w:p w14:paraId="74A5FFDF" w14:textId="77777777" w:rsidR="00FA264C" w:rsidRPr="00E81E70" w:rsidRDefault="00FA264C" w:rsidP="00FA264C">
      <w:pPr>
        <w:pStyle w:val="ListParagraph"/>
        <w:numPr>
          <w:ilvl w:val="0"/>
          <w:numId w:val="0"/>
        </w:numPr>
        <w:ind w:left="360"/>
        <w:rPr>
          <w:rStyle w:val="cf01"/>
          <w:rFonts w:ascii="Arial" w:hAnsi="Arial" w:cs="Arial"/>
          <w:b/>
          <w:bCs/>
          <w:sz w:val="20"/>
          <w:szCs w:val="20"/>
        </w:rPr>
      </w:pPr>
    </w:p>
    <w:p w14:paraId="1F561273" w14:textId="77777777" w:rsidR="00FA264C" w:rsidRPr="00E81E70" w:rsidRDefault="00FA264C" w:rsidP="00FA264C">
      <w:pPr>
        <w:pStyle w:val="ListParagraph"/>
        <w:rPr>
          <w:rStyle w:val="cf01"/>
          <w:rFonts w:ascii="Arial" w:hAnsi="Arial" w:cs="Arial"/>
          <w:sz w:val="20"/>
          <w:szCs w:val="20"/>
        </w:rPr>
      </w:pPr>
      <w:r w:rsidRPr="00E81E70">
        <w:rPr>
          <w:rStyle w:val="cf01"/>
          <w:rFonts w:ascii="Arial" w:hAnsi="Arial" w:cs="Arial"/>
          <w:b/>
          <w:bCs/>
          <w:sz w:val="20"/>
          <w:szCs w:val="20"/>
        </w:rPr>
        <w:t>Eelnõu § 4</w:t>
      </w:r>
      <w:r w:rsidRPr="00E81E70">
        <w:rPr>
          <w:rStyle w:val="cf01"/>
          <w:rFonts w:ascii="Arial" w:hAnsi="Arial" w:cs="Arial"/>
          <w:sz w:val="20"/>
          <w:szCs w:val="20"/>
        </w:rPr>
        <w:t xml:space="preserve"> – palume töötuskindlustuse seaduse muudatuste kontekstis hinnata, kas ja millal peaks saama hüvitist plaanitava ATS § 96</w:t>
      </w:r>
      <w:r w:rsidRPr="00E81E70">
        <w:rPr>
          <w:rStyle w:val="cf01"/>
          <w:rFonts w:ascii="Arial" w:hAnsi="Arial" w:cs="Arial"/>
          <w:sz w:val="20"/>
          <w:szCs w:val="20"/>
          <w:vertAlign w:val="superscript"/>
        </w:rPr>
        <w:t>1</w:t>
      </w:r>
      <w:r w:rsidRPr="00E81E70">
        <w:rPr>
          <w:rStyle w:val="cf01"/>
          <w:rFonts w:ascii="Arial" w:hAnsi="Arial" w:cs="Arial"/>
          <w:sz w:val="20"/>
          <w:szCs w:val="20"/>
        </w:rPr>
        <w:t xml:space="preserve"> alusel teenistusest vabastatud ametnik. </w:t>
      </w:r>
    </w:p>
    <w:p w14:paraId="440E8E62" w14:textId="77777777" w:rsidR="00FA264C" w:rsidRPr="008C4433" w:rsidRDefault="00FA264C" w:rsidP="00FA264C">
      <w:pPr>
        <w:pStyle w:val="NoSpacing"/>
        <w:ind w:left="360"/>
        <w:jc w:val="both"/>
        <w:rPr>
          <w:rFonts w:cs="Arial"/>
        </w:rPr>
      </w:pPr>
    </w:p>
    <w:p w14:paraId="7D791FD0" w14:textId="77777777" w:rsidR="00FA264C" w:rsidRPr="00E81E70" w:rsidRDefault="00FA264C" w:rsidP="00FA264C">
      <w:pPr>
        <w:pStyle w:val="ListParagraph"/>
        <w:rPr>
          <w:bCs/>
        </w:rPr>
      </w:pPr>
      <w:r w:rsidRPr="00E81E70">
        <w:rPr>
          <w:b/>
          <w:bCs/>
        </w:rPr>
        <w:t>Eelnõu § 5 (VVS § 49 lg 1 p 6)</w:t>
      </w:r>
      <w:r>
        <w:t xml:space="preserve"> – kordame esimesel ringil esitatud märkust. </w:t>
      </w:r>
      <w:r w:rsidRPr="00E81E70">
        <w:rPr>
          <w:shd w:val="clear" w:color="auto" w:fill="FFFFFF"/>
        </w:rPr>
        <w:t xml:space="preserve">Eelnõuga tunnistatakse kehtetuks VVS § 49 lg 1 p 6, </w:t>
      </w:r>
      <w:bookmarkStart w:id="4" w:name="_Hlk162200436"/>
      <w:r w:rsidRPr="00E81E70">
        <w:rPr>
          <w:shd w:val="clear" w:color="auto" w:fill="FFFFFF"/>
        </w:rPr>
        <w:t>mille kohaselt minister vastava ministeeriumi juhina nimetab ametisse ja vabastab ametist kantsleri ettepanekul ministeeriumi osakonnajuhataja, Välisministeeriumis peadirektori või sõlmib ja lõpetab temaga töölepingu või annab selleks volituse kantslerile.</w:t>
      </w:r>
      <w:r>
        <w:rPr>
          <w:shd w:val="clear" w:color="auto" w:fill="FFFFFF"/>
        </w:rPr>
        <w:t xml:space="preserve"> </w:t>
      </w:r>
      <w:r w:rsidRPr="00E81E70">
        <w:rPr>
          <w:bCs/>
        </w:rPr>
        <w:t xml:space="preserve">Seega vähendatakse ministri pädevust ministeeriumi juhina. Muudatus on vastuolus põhiseaduse §-ga 94, mille kohaselt </w:t>
      </w:r>
      <w:r w:rsidRPr="00E81E70">
        <w:rPr>
          <w:shd w:val="clear" w:color="auto" w:fill="FFFFFF"/>
        </w:rPr>
        <w:t>minister juhib ministeeriumi, korraldab ministeeriumi valitsemisalasse kuuluvaid küsimusi, annab seaduse alusel ja täitmiseks määrusi ja käskkirju ning täidab muid ülesandeid, mis talle on pandud seadusega sätestatud alustel ja korras.</w:t>
      </w:r>
      <w:r w:rsidRPr="00E81E70">
        <w:rPr>
          <w:bCs/>
        </w:rPr>
        <w:t xml:space="preserve"> Kehtiva regulatsiooni kohaselt on võimalik anda volitus kantslerile ja osa ministeeriume on seda ka teinud. Palume VVS § 49 lõike 1 punkti 6 kehtetuks tunnistamine eelnõust välja jätta. </w:t>
      </w:r>
    </w:p>
    <w:bookmarkEnd w:id="4"/>
    <w:p w14:paraId="2AC66314" w14:textId="77777777" w:rsidR="00FA264C" w:rsidRPr="0040539C" w:rsidRDefault="00FA264C" w:rsidP="00FA264C">
      <w:pPr>
        <w:pStyle w:val="ListParagraph"/>
        <w:numPr>
          <w:ilvl w:val="0"/>
          <w:numId w:val="0"/>
        </w:numPr>
        <w:ind w:left="360"/>
      </w:pPr>
    </w:p>
    <w:p w14:paraId="17D3BB21" w14:textId="77777777" w:rsidR="00FA264C" w:rsidRDefault="00FA264C" w:rsidP="00FA264C">
      <w:pPr>
        <w:pStyle w:val="ListParagraph"/>
      </w:pPr>
      <w:r w:rsidRPr="00F744C7">
        <w:rPr>
          <w:b/>
          <w:bCs/>
        </w:rPr>
        <w:t>Mõju</w:t>
      </w:r>
      <w:r>
        <w:rPr>
          <w:b/>
          <w:bCs/>
        </w:rPr>
        <w:t>analüüsi</w:t>
      </w:r>
      <w:r w:rsidRPr="00F744C7">
        <w:rPr>
          <w:b/>
          <w:bCs/>
        </w:rPr>
        <w:t xml:space="preserve"> osas</w:t>
      </w:r>
      <w:r w:rsidRPr="00D151B7">
        <w:t xml:space="preserve"> tervikuna tuleb viidata sellele, et hinnatud ei ole päriselt eelnõuga kaasneva</w:t>
      </w:r>
      <w:r>
        <w:t>t</w:t>
      </w:r>
      <w:r w:rsidRPr="00D151B7">
        <w:t xml:space="preserve"> mõju ametnikele (vähendatakse nende hüvesid)</w:t>
      </w:r>
      <w:r>
        <w:t xml:space="preserve"> ega</w:t>
      </w:r>
      <w:r w:rsidRPr="00D151B7">
        <w:t xml:space="preserve"> mõju avalikule teenistusele tervikuna – avaliku teenistuse aluspõhimõtteid muudetakse olulisel määral</w:t>
      </w:r>
      <w:r>
        <w:t>,</w:t>
      </w:r>
      <w:r w:rsidRPr="00D151B7">
        <w:t xml:space="preserve"> luues võimalusi ametnikust lihtsa</w:t>
      </w:r>
      <w:r>
        <w:t>ma</w:t>
      </w:r>
      <w:r w:rsidRPr="00D151B7">
        <w:t>lt vabaneda. Võimaldades liikumist ameti- ja töökoha vahel ilma avaliku konkursita, eiratakse seniseid avaliku teenistuse üldpõhimõtteid kõikidele võrdsest ligipääsust ametikohtadele, avatusest jne.</w:t>
      </w:r>
    </w:p>
    <w:p w14:paraId="30BE91B1" w14:textId="77777777" w:rsidR="00FA264C" w:rsidRPr="00D151B7" w:rsidRDefault="00FA264C" w:rsidP="00FA264C">
      <w:pPr>
        <w:pStyle w:val="ListParagraph"/>
        <w:numPr>
          <w:ilvl w:val="0"/>
          <w:numId w:val="0"/>
        </w:numPr>
        <w:ind w:left="360"/>
      </w:pPr>
    </w:p>
    <w:p w14:paraId="19E80FB1" w14:textId="77777777" w:rsidR="00FA264C" w:rsidRPr="00F5291C" w:rsidRDefault="00FA264C" w:rsidP="00FA264C">
      <w:pPr>
        <w:pStyle w:val="ListParagraph"/>
        <w:numPr>
          <w:ilvl w:val="0"/>
          <w:numId w:val="0"/>
        </w:numPr>
        <w:ind w:left="360"/>
      </w:pPr>
      <w:r w:rsidRPr="00D151B7">
        <w:t>Lisaks on oluline mõju tähtajaliste teenistussuhete kehtestamisel</w:t>
      </w:r>
      <w:r>
        <w:t>,</w:t>
      </w:r>
      <w:r w:rsidRPr="00D151B7">
        <w:t xml:space="preserve"> kuivõrd avaliku teenistuse puhul on üldreegliks tähtajatu teenistussuhe. Tähtajalist teenistus- või töösuhet tuleb põhjendada, kuid kõnesoleva eelnõu puhul muudetakse kõik keskastmejuhid tähtajalisteks töötajateks või teenistujateks vaatamata Rahandusministeeriumi enda vastupidisele statistikale </w:t>
      </w:r>
      <w:r>
        <w:t xml:space="preserve">varasemale </w:t>
      </w:r>
      <w:r w:rsidRPr="00D151B7">
        <w:t>VVTP-le tuginedes.</w:t>
      </w:r>
    </w:p>
    <w:p w14:paraId="76AEAB5A" w14:textId="77777777" w:rsidR="00FA264C" w:rsidRDefault="00FA264C" w:rsidP="00FA264C">
      <w:pPr>
        <w:pStyle w:val="ListParagraph"/>
        <w:numPr>
          <w:ilvl w:val="0"/>
          <w:numId w:val="0"/>
        </w:numPr>
        <w:ind w:left="360"/>
      </w:pPr>
    </w:p>
    <w:p w14:paraId="25F0826D" w14:textId="77777777" w:rsidR="00FA264C" w:rsidRDefault="00FA264C" w:rsidP="00FA264C">
      <w:pPr>
        <w:pStyle w:val="ListParagraph"/>
        <w:numPr>
          <w:ilvl w:val="0"/>
          <w:numId w:val="0"/>
        </w:numPr>
        <w:ind w:left="360"/>
      </w:pPr>
      <w:r>
        <w:t>Seletuskirjas (lk 44) (muudatus nr 7, k</w:t>
      </w:r>
      <w:r w:rsidRPr="002F4726">
        <w:t>oondamisest etteteatamise tähtaja sidumine ametiasutuses töötatud ajaga</w:t>
      </w:r>
      <w:r>
        <w:t>) on öeldud, et m</w:t>
      </w:r>
      <w:r w:rsidRPr="00D2493D">
        <w:t>uudatusega ei kaasne olulisi mõjusid.</w:t>
      </w:r>
      <w:r>
        <w:t xml:space="preserve"> Selle hinnanguga ei saa nõustuda. </w:t>
      </w:r>
      <w:r w:rsidRPr="002A1C0C">
        <w:t>Kui koondamisest etteteatamise aeg sõltub ametiasutuses töötatud ajast, mitte enam avalikus teenistuses ametnikuna teenistuses oldud ajast (staažist),</w:t>
      </w:r>
      <w:r>
        <w:t xml:space="preserve"> on mõju meie hinnangul oluline. </w:t>
      </w:r>
    </w:p>
    <w:p w14:paraId="16C84446" w14:textId="77777777" w:rsidR="00FA264C" w:rsidRDefault="00FA264C" w:rsidP="00FA264C"/>
    <w:p w14:paraId="1BEFFF82" w14:textId="77777777" w:rsidR="00FA264C" w:rsidRPr="00EA62F2" w:rsidRDefault="00FA264C" w:rsidP="00FA264C">
      <w:pPr>
        <w:pStyle w:val="NoSpacing"/>
        <w:numPr>
          <w:ilvl w:val="0"/>
          <w:numId w:val="1"/>
        </w:numPr>
        <w:jc w:val="both"/>
        <w:rPr>
          <w:rFonts w:cs="Arial"/>
        </w:rPr>
      </w:pPr>
      <w:r w:rsidRPr="00EA62F2">
        <w:rPr>
          <w:rFonts w:ascii="Arial" w:hAnsi="Arial" w:cs="Arial"/>
          <w:sz w:val="20"/>
          <w:szCs w:val="20"/>
        </w:rPr>
        <w:t xml:space="preserve">Palume arvestada käesoleva kirja lisades esitatud eelnõu ja seletuskirja failis jäljega tehtud normitehniliste ja keelemärkustega ning märkustega eelnõu mõju kohta. </w:t>
      </w:r>
    </w:p>
    <w:p w14:paraId="428A0ADA" w14:textId="77777777" w:rsidR="00FF3619" w:rsidRDefault="00FF3619" w:rsidP="00FF3619">
      <w:pPr>
        <w:pStyle w:val="NoSpacing"/>
        <w:ind w:left="360"/>
        <w:jc w:val="both"/>
        <w:rPr>
          <w:rFonts w:cs="Arial"/>
        </w:rPr>
      </w:pPr>
    </w:p>
    <w:p w14:paraId="7B713A37" w14:textId="77777777" w:rsidR="00FA264C" w:rsidRDefault="00FA264C" w:rsidP="00FF3619">
      <w:pPr>
        <w:pStyle w:val="NoSpacing"/>
        <w:ind w:left="360"/>
        <w:jc w:val="both"/>
        <w:rPr>
          <w:rFonts w:cs="Arial"/>
        </w:rPr>
      </w:pPr>
    </w:p>
    <w:p w14:paraId="69222E47" w14:textId="77777777" w:rsidR="00E81E70" w:rsidRDefault="00E81E70" w:rsidP="005F602B">
      <w:pPr>
        <w:tabs>
          <w:tab w:val="left" w:pos="2715"/>
        </w:tabs>
        <w:rPr>
          <w:rFonts w:cs="Arial"/>
        </w:rPr>
      </w:pPr>
    </w:p>
    <w:p w14:paraId="6110D965" w14:textId="1C2F998B" w:rsidR="00536224" w:rsidRDefault="00160C69" w:rsidP="005F602B">
      <w:pPr>
        <w:tabs>
          <w:tab w:val="left" w:pos="2715"/>
        </w:tabs>
        <w:rPr>
          <w:rFonts w:cs="Arial"/>
        </w:rPr>
      </w:pPr>
      <w:r>
        <w:rPr>
          <w:rFonts w:cs="Arial"/>
        </w:rPr>
        <w:t>Lugupidamisega</w:t>
      </w:r>
    </w:p>
    <w:p w14:paraId="5E70DBCB" w14:textId="77777777" w:rsidR="00536224" w:rsidRDefault="00536224" w:rsidP="005F602B">
      <w:pPr>
        <w:tabs>
          <w:tab w:val="left" w:pos="2715"/>
        </w:tabs>
        <w:rPr>
          <w:rFonts w:cs="Arial"/>
        </w:rPr>
      </w:pPr>
    </w:p>
    <w:p w14:paraId="2AACEE5D" w14:textId="77777777" w:rsidR="00536224" w:rsidRDefault="00536224" w:rsidP="005F602B">
      <w:pPr>
        <w:tabs>
          <w:tab w:val="left" w:pos="2715"/>
        </w:tabs>
        <w:rPr>
          <w:rFonts w:cs="Arial"/>
        </w:rPr>
      </w:pPr>
    </w:p>
    <w:p w14:paraId="474123AD" w14:textId="77777777" w:rsidR="00536224" w:rsidRPr="00842461" w:rsidRDefault="00806E1E" w:rsidP="005F602B">
      <w:pPr>
        <w:tabs>
          <w:tab w:val="left" w:pos="2715"/>
        </w:tabs>
        <w:rPr>
          <w:rFonts w:cs="Arial"/>
          <w:i/>
        </w:rPr>
      </w:pPr>
      <w:r w:rsidRPr="00842461">
        <w:rPr>
          <w:rFonts w:cs="Arial"/>
          <w:i/>
        </w:rPr>
        <w:t>(allkirjastatud digitaalselt)</w:t>
      </w:r>
    </w:p>
    <w:p w14:paraId="5FD05848" w14:textId="77777777" w:rsidR="00806E1E" w:rsidRPr="0022248D" w:rsidRDefault="00806E1E" w:rsidP="005F602B">
      <w:pPr>
        <w:tabs>
          <w:tab w:val="left" w:pos="2715"/>
        </w:tabs>
        <w:rPr>
          <w:rFonts w:cs="Arial"/>
        </w:rPr>
      </w:pPr>
    </w:p>
    <w:p w14:paraId="56D79E18" w14:textId="1D658B19" w:rsidR="00536224" w:rsidRPr="0022248D" w:rsidRDefault="00270AA5" w:rsidP="005F602B">
      <w:pPr>
        <w:tabs>
          <w:tab w:val="left" w:pos="2715"/>
        </w:tabs>
        <w:rPr>
          <w:rFonts w:cs="Arial"/>
        </w:rPr>
      </w:pPr>
      <w:r>
        <w:fldChar w:fldCharType="begin"/>
      </w:r>
      <w:r w:rsidR="00BA6F4A">
        <w:instrText xml:space="preserve"> delta_signerName  \* MERGEFORMAT</w:instrText>
      </w:r>
      <w:r>
        <w:fldChar w:fldCharType="separate"/>
      </w:r>
      <w:r w:rsidR="00BA6F4A">
        <w:rPr>
          <w:rFonts w:cs="Arial"/>
        </w:rPr>
        <w:t>Liisa-Ly Pakosta</w:t>
      </w:r>
      <w:r>
        <w:rPr>
          <w:rFonts w:cs="Arial"/>
        </w:rPr>
        <w:fldChar w:fldCharType="end"/>
      </w:r>
    </w:p>
    <w:p w14:paraId="28D8D3B0" w14:textId="271DD60C" w:rsidR="00536224" w:rsidRDefault="00B63E55" w:rsidP="005F602B">
      <w:pPr>
        <w:tabs>
          <w:tab w:val="left" w:pos="2715"/>
        </w:tabs>
        <w:rPr>
          <w:rFonts w:cs="Arial"/>
        </w:rPr>
      </w:pPr>
      <w:r>
        <w:rPr>
          <w:rFonts w:cs="Arial"/>
        </w:rPr>
        <w:fldChar w:fldCharType="begin"/>
      </w:r>
      <w:r w:rsidR="00BA6F4A">
        <w:rPr>
          <w:rFonts w:cs="Arial"/>
        </w:rPr>
        <w:instrText xml:space="preserve"> delta_signerJobTitle  \* MERGEFORMAT</w:instrText>
      </w:r>
      <w:r>
        <w:rPr>
          <w:rFonts w:cs="Arial"/>
        </w:rPr>
        <w:fldChar w:fldCharType="separate"/>
      </w:r>
      <w:r w:rsidR="00BA6F4A">
        <w:rPr>
          <w:rFonts w:cs="Arial"/>
        </w:rPr>
        <w:t>justiits- ja digiminister</w:t>
      </w:r>
      <w:r>
        <w:rPr>
          <w:rFonts w:cs="Arial"/>
        </w:rPr>
        <w:fldChar w:fldCharType="end"/>
      </w:r>
    </w:p>
    <w:p w14:paraId="213DE008" w14:textId="77777777" w:rsidR="00536224" w:rsidRDefault="00536224" w:rsidP="005F602B">
      <w:pPr>
        <w:tabs>
          <w:tab w:val="left" w:pos="2715"/>
        </w:tabs>
        <w:rPr>
          <w:rFonts w:cs="Arial"/>
        </w:rPr>
      </w:pPr>
    </w:p>
    <w:p w14:paraId="621CB3CE" w14:textId="77777777" w:rsidR="00FA264C" w:rsidRDefault="00FA264C" w:rsidP="005F602B">
      <w:pPr>
        <w:tabs>
          <w:tab w:val="left" w:pos="2715"/>
        </w:tabs>
        <w:rPr>
          <w:rFonts w:cs="Arial"/>
        </w:rPr>
      </w:pPr>
    </w:p>
    <w:p w14:paraId="5DC84542" w14:textId="77777777" w:rsidR="00536224" w:rsidRDefault="00536224" w:rsidP="005F602B">
      <w:pPr>
        <w:tabs>
          <w:tab w:val="left" w:pos="2715"/>
        </w:tabs>
        <w:rPr>
          <w:rFonts w:cs="Arial"/>
        </w:rPr>
      </w:pPr>
    </w:p>
    <w:p w14:paraId="4DC0DA7B" w14:textId="77777777" w:rsidR="00FF3619" w:rsidRDefault="00FF3619" w:rsidP="00FF3619">
      <w:pPr>
        <w:rPr>
          <w:rFonts w:cs="Arial"/>
        </w:rPr>
      </w:pPr>
      <w:r>
        <w:rPr>
          <w:rFonts w:cs="Arial"/>
        </w:rPr>
        <w:t xml:space="preserve">Lisad: </w:t>
      </w:r>
    </w:p>
    <w:p w14:paraId="7A8A87A2" w14:textId="77777777" w:rsidR="00FF3619" w:rsidRDefault="00FF3619" w:rsidP="00FF3619">
      <w:pPr>
        <w:pStyle w:val="ListParagraph"/>
        <w:numPr>
          <w:ilvl w:val="0"/>
          <w:numId w:val="3"/>
        </w:numPr>
      </w:pPr>
      <w:r w:rsidRPr="001C07F0">
        <w:t xml:space="preserve">Eelnõu </w:t>
      </w:r>
      <w:r>
        <w:t>f</w:t>
      </w:r>
      <w:r w:rsidRPr="001C07F0">
        <w:t>ail Justiitsministeeriumi märkustega</w:t>
      </w:r>
    </w:p>
    <w:p w14:paraId="2F8241B9" w14:textId="77777777" w:rsidR="00FF3619" w:rsidRPr="001C07F0" w:rsidRDefault="00FF3619" w:rsidP="00FF3619">
      <w:pPr>
        <w:pStyle w:val="ListParagraph"/>
        <w:numPr>
          <w:ilvl w:val="0"/>
          <w:numId w:val="3"/>
        </w:numPr>
      </w:pPr>
      <w:r>
        <w:t>Seletuskirja fail Justiitsministeeriumi märkustega</w:t>
      </w:r>
    </w:p>
    <w:p w14:paraId="5176A60B" w14:textId="77777777" w:rsidR="00536224" w:rsidRDefault="00536224" w:rsidP="005F602B">
      <w:pPr>
        <w:tabs>
          <w:tab w:val="left" w:pos="2715"/>
        </w:tabs>
        <w:rPr>
          <w:rFonts w:cs="Arial"/>
        </w:rPr>
      </w:pPr>
    </w:p>
    <w:p w14:paraId="4FCCDC72" w14:textId="77777777" w:rsidR="00B63E55" w:rsidRDefault="00B63E55" w:rsidP="005F602B">
      <w:pPr>
        <w:tabs>
          <w:tab w:val="left" w:pos="2715"/>
        </w:tabs>
        <w:rPr>
          <w:rFonts w:cs="Arial"/>
        </w:rPr>
      </w:pPr>
    </w:p>
    <w:p w14:paraId="3CDD0376" w14:textId="77777777" w:rsidR="00FA264C" w:rsidRDefault="00FA264C" w:rsidP="005F602B">
      <w:pPr>
        <w:tabs>
          <w:tab w:val="left" w:pos="2715"/>
        </w:tabs>
        <w:rPr>
          <w:rFonts w:cs="Arial"/>
        </w:rPr>
      </w:pPr>
    </w:p>
    <w:p w14:paraId="0131F0D6" w14:textId="77777777" w:rsidR="00842461" w:rsidRPr="0022248D" w:rsidRDefault="00842461" w:rsidP="005F602B">
      <w:pPr>
        <w:tabs>
          <w:tab w:val="left" w:pos="2715"/>
        </w:tabs>
        <w:rPr>
          <w:rFonts w:cs="Arial"/>
        </w:rPr>
      </w:pPr>
    </w:p>
    <w:p w14:paraId="73F0F909" w14:textId="1B55E4EA" w:rsidR="00536224" w:rsidRPr="0022248D" w:rsidRDefault="00230F61" w:rsidP="005F602B">
      <w:pPr>
        <w:tabs>
          <w:tab w:val="left" w:pos="2715"/>
        </w:tabs>
        <w:rPr>
          <w:rFonts w:cs="Arial"/>
        </w:rPr>
      </w:pPr>
      <w:r>
        <w:fldChar w:fldCharType="begin"/>
      </w:r>
      <w:r w:rsidR="00BA6F4A">
        <w:instrText xml:space="preserve"> delta_ownerName  \* MERGEFORMAT</w:instrText>
      </w:r>
      <w:r>
        <w:fldChar w:fldCharType="separate"/>
      </w:r>
      <w:r w:rsidR="00BA6F4A">
        <w:rPr>
          <w:rFonts w:cs="Arial"/>
        </w:rPr>
        <w:t>Katariina Kärsten</w:t>
      </w:r>
      <w:r>
        <w:rPr>
          <w:rFonts w:cs="Arial"/>
        </w:rPr>
        <w:fldChar w:fldCharType="end"/>
      </w:r>
      <w:r w:rsidR="00536224" w:rsidRPr="0022248D">
        <w:rPr>
          <w:rFonts w:cs="Arial"/>
        </w:rPr>
        <w:t xml:space="preserve">  </w:t>
      </w:r>
      <w:r w:rsidR="001371B2">
        <w:rPr>
          <w:rFonts w:cs="Arial"/>
        </w:rPr>
        <w:fldChar w:fldCharType="begin"/>
      </w:r>
      <w:r w:rsidR="00BA6F4A">
        <w:rPr>
          <w:rFonts w:cs="Arial"/>
        </w:rPr>
        <w:instrText xml:space="preserve"> delta_ownerPhone  \* MERGEFORMAT</w:instrText>
      </w:r>
      <w:r w:rsidR="001371B2">
        <w:rPr>
          <w:rFonts w:cs="Arial"/>
        </w:rPr>
        <w:fldChar w:fldCharType="separate"/>
      </w:r>
      <w:r w:rsidR="00BA6F4A">
        <w:rPr>
          <w:rFonts w:cs="Arial"/>
        </w:rPr>
        <w:t>53888918</w:t>
      </w:r>
      <w:r w:rsidR="001371B2">
        <w:rPr>
          <w:rFonts w:cs="Arial"/>
        </w:rPr>
        <w:fldChar w:fldCharType="end"/>
      </w:r>
    </w:p>
    <w:p w14:paraId="7E8ED06B" w14:textId="0ED868D6" w:rsidR="00536224" w:rsidRDefault="00230F61" w:rsidP="005F602B">
      <w:pPr>
        <w:tabs>
          <w:tab w:val="left" w:pos="2715"/>
        </w:tabs>
        <w:rPr>
          <w:rFonts w:cs="Arial"/>
        </w:rPr>
      </w:pPr>
      <w:r>
        <w:fldChar w:fldCharType="begin"/>
      </w:r>
      <w:r w:rsidR="00BA6F4A">
        <w:instrText xml:space="preserve"> delta_ownerEmail  \* MERGEFORMAT</w:instrText>
      </w:r>
      <w:r>
        <w:fldChar w:fldCharType="separate"/>
      </w:r>
      <w:r w:rsidR="00BA6F4A">
        <w:rPr>
          <w:rFonts w:cs="Arial"/>
        </w:rPr>
        <w:t>Katariina.Karsten@justdigi.ee</w:t>
      </w:r>
      <w:r>
        <w:rPr>
          <w:rFonts w:cs="Arial"/>
        </w:rPr>
        <w:fldChar w:fldCharType="end"/>
      </w:r>
    </w:p>
    <w:p w14:paraId="50DA7EF7" w14:textId="4403E69F" w:rsidR="00FF3619" w:rsidRDefault="00FF3619" w:rsidP="005F602B">
      <w:pPr>
        <w:tabs>
          <w:tab w:val="left" w:pos="2715"/>
        </w:tabs>
        <w:rPr>
          <w:rFonts w:cs="Arial"/>
        </w:rPr>
      </w:pPr>
      <w:r>
        <w:rPr>
          <w:rFonts w:cs="Arial"/>
        </w:rPr>
        <w:t>Monika Tappo</w:t>
      </w:r>
    </w:p>
    <w:p w14:paraId="19526E12" w14:textId="679EB153" w:rsidR="00987DBB" w:rsidRDefault="00987DBB" w:rsidP="005F602B">
      <w:pPr>
        <w:tabs>
          <w:tab w:val="left" w:pos="2715"/>
        </w:tabs>
        <w:rPr>
          <w:rFonts w:cs="Arial"/>
        </w:rPr>
      </w:pPr>
      <w:r>
        <w:rPr>
          <w:rFonts w:cs="Arial"/>
        </w:rPr>
        <w:t>Mari Saarniit</w:t>
      </w:r>
    </w:p>
    <w:p w14:paraId="387FA757" w14:textId="0F62A460" w:rsidR="00DF524C" w:rsidRDefault="00DF524C" w:rsidP="005F602B">
      <w:pPr>
        <w:tabs>
          <w:tab w:val="left" w:pos="2715"/>
        </w:tabs>
        <w:rPr>
          <w:rFonts w:cs="Arial"/>
        </w:rPr>
      </w:pPr>
      <w:r>
        <w:rPr>
          <w:rFonts w:cs="Arial"/>
        </w:rPr>
        <w:t>Kadri Margus</w:t>
      </w:r>
    </w:p>
    <w:p w14:paraId="49CEC274" w14:textId="4371BADC" w:rsidR="00FF3619" w:rsidRPr="0022248D" w:rsidRDefault="00FF3619" w:rsidP="005F602B">
      <w:pPr>
        <w:tabs>
          <w:tab w:val="left" w:pos="2715"/>
        </w:tabs>
        <w:rPr>
          <w:rFonts w:cs="Arial"/>
        </w:rPr>
      </w:pPr>
      <w:r>
        <w:rPr>
          <w:rFonts w:cs="Arial"/>
        </w:rPr>
        <w:t>Pilleriin Lindsalu</w:t>
      </w:r>
    </w:p>
    <w:sectPr w:rsidR="00FF3619" w:rsidRPr="0022248D" w:rsidSect="008D62BE">
      <w:footerReference w:type="default" r:id="rId10"/>
      <w:headerReference w:type="first" r:id="rId11"/>
      <w:footerReference w:type="first" r:id="rId12"/>
      <w:type w:val="continuous"/>
      <w:pgSz w:w="11907" w:h="16840" w:code="9"/>
      <w:pgMar w:top="1140" w:right="1140" w:bottom="1701" w:left="1281" w:header="289" w:footer="1077" w:gutter="561"/>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38080" w14:textId="77777777" w:rsidR="000F69E8" w:rsidRDefault="000F69E8">
      <w:r>
        <w:separator/>
      </w:r>
    </w:p>
  </w:endnote>
  <w:endnote w:type="continuationSeparator" w:id="0">
    <w:p w14:paraId="33B3931D" w14:textId="77777777" w:rsidR="000F69E8" w:rsidRDefault="000F69E8">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3552558"/>
      <w:docPartObj>
        <w:docPartGallery w:val="Page Numbers (Bottom of Page)"/>
        <w:docPartUnique/>
      </w:docPartObj>
    </w:sdtPr>
    <w:sdtEndPr/>
    <w:sdtContent>
      <w:p w14:paraId="400509B9" w14:textId="5D4E13CD" w:rsidR="00B12751" w:rsidRDefault="00B12751">
        <w:pPr>
          <w:pStyle w:val="Footer"/>
          <w:jc w:val="center"/>
        </w:pPr>
        <w:r>
          <w:fldChar w:fldCharType="begin"/>
        </w:r>
        <w:r>
          <w:instrText>PAGE   \* MERGEFORMAT</w:instrText>
        </w:r>
        <w:r>
          <w:fldChar w:fldCharType="separate"/>
        </w:r>
        <w:r w:rsidR="00BA6F4A">
          <w:rPr>
            <w:noProof/>
          </w:rPr>
          <w:t>8</w:t>
        </w:r>
        <w:r>
          <w:fldChar w:fldCharType="end"/>
        </w:r>
      </w:p>
    </w:sdtContent>
  </w:sdt>
  <w:p w14:paraId="1B184675" w14:textId="77777777" w:rsidR="0033697B" w:rsidRDefault="003369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1A8C0" w14:textId="77777777" w:rsidR="00400639" w:rsidRPr="008D40AD" w:rsidRDefault="00400639" w:rsidP="00400639">
    <w:pPr>
      <w:rPr>
        <w:rFonts w:cs="Arial"/>
        <w:lang w:val="en-US"/>
      </w:rPr>
    </w:pPr>
    <w:r>
      <w:rPr>
        <w:rFonts w:cs="Arial"/>
      </w:rPr>
      <w:t>Suur-Ameerika 1</w:t>
    </w:r>
    <w:r w:rsidRPr="008D40AD">
      <w:rPr>
        <w:rFonts w:cs="Arial"/>
      </w:rPr>
      <w:t xml:space="preserve"> / 1</w:t>
    </w:r>
    <w:r>
      <w:rPr>
        <w:rFonts w:cs="Arial"/>
      </w:rPr>
      <w:t>0122</w:t>
    </w:r>
    <w:r w:rsidRPr="008D40AD">
      <w:rPr>
        <w:rFonts w:cs="Arial"/>
      </w:rPr>
      <w:t xml:space="preserve"> Tallinn / +372 620 8100 / </w:t>
    </w:r>
    <w:r w:rsidR="0033697B" w:rsidRPr="0033697B">
      <w:rPr>
        <w:rFonts w:cs="Arial"/>
      </w:rPr>
      <w:t>info@justdigi.ee/ www.justdigi.ee</w:t>
    </w:r>
  </w:p>
  <w:p w14:paraId="59F38785" w14:textId="77777777" w:rsidR="00D1484F" w:rsidRPr="007C350C" w:rsidRDefault="00400639" w:rsidP="007C350C">
    <w:pPr>
      <w:pStyle w:val="Jalus1"/>
    </w:pPr>
    <w:r w:rsidRPr="008D40AD">
      <w:rPr>
        <w:rFonts w:ascii="Arial" w:hAnsi="Arial" w:cs="Arial"/>
        <w:szCs w:val="20"/>
      </w:rPr>
      <w:t>Registrikood 70000898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6E6765" w14:textId="77777777" w:rsidR="000F69E8" w:rsidRDefault="000F69E8">
      <w:r>
        <w:separator/>
      </w:r>
    </w:p>
  </w:footnote>
  <w:footnote w:type="continuationSeparator" w:id="0">
    <w:p w14:paraId="1D0B5FF3" w14:textId="77777777" w:rsidR="000F69E8" w:rsidRDefault="000F69E8">
      <w:r>
        <w:continuationSeparator/>
      </w:r>
    </w:p>
  </w:footnote>
  <w:footnote w:id="1">
    <w:p w14:paraId="6129DC0A" w14:textId="77777777" w:rsidR="00FA264C" w:rsidRPr="00F02AEA" w:rsidRDefault="00FA264C" w:rsidP="00FA264C">
      <w:pPr>
        <w:pStyle w:val="FootnoteText"/>
        <w:rPr>
          <w:sz w:val="16"/>
          <w:szCs w:val="16"/>
        </w:rPr>
      </w:pPr>
      <w:r w:rsidRPr="00F02AEA">
        <w:rPr>
          <w:rStyle w:val="FootnoteReference"/>
          <w:sz w:val="16"/>
          <w:szCs w:val="16"/>
        </w:rPr>
        <w:footnoteRef/>
      </w:r>
      <w:r w:rsidRPr="00F02AEA">
        <w:rPr>
          <w:sz w:val="16"/>
          <w:szCs w:val="16"/>
        </w:rPr>
        <w:t xml:space="preserve"> Analüüs „Ametnike teenistussuhete üleviimine töölepingulisele alusele“, lk 12. Valminud 27.01.2023. Väljaandja: Eesti Teaduste Akadeemia (Riigiõiguse Sihtkapital). Kättesaadav arvutivõrgus: </w:t>
      </w:r>
      <w:hyperlink r:id="rId1" w:history="1">
        <w:r w:rsidRPr="00F02AEA">
          <w:rPr>
            <w:rStyle w:val="Hyperlink"/>
            <w:sz w:val="16"/>
            <w:szCs w:val="16"/>
          </w:rPr>
          <w:t>https://www.akadeemia.ee/wp-content/uploads/2023/02/ametnike-teenistussuhete-uleviimine-toolepingulisele-alusele.pdf</w:t>
        </w:r>
      </w:hyperlink>
      <w:r w:rsidRPr="00F02AEA">
        <w:rPr>
          <w:sz w:val="16"/>
          <w:szCs w:val="16"/>
        </w:rPr>
        <w:t xml:space="preserve"> </w:t>
      </w:r>
    </w:p>
  </w:footnote>
  <w:footnote w:id="2">
    <w:p w14:paraId="1DEB6638" w14:textId="77777777" w:rsidR="00FA264C" w:rsidRDefault="00FA264C" w:rsidP="00FA264C">
      <w:pPr>
        <w:pStyle w:val="FootnoteText"/>
      </w:pPr>
      <w:r w:rsidRPr="00F02AEA">
        <w:rPr>
          <w:rStyle w:val="FootnoteReference"/>
          <w:sz w:val="16"/>
          <w:szCs w:val="16"/>
        </w:rPr>
        <w:footnoteRef/>
      </w:r>
      <w:r w:rsidRPr="00F02AEA">
        <w:rPr>
          <w:sz w:val="16"/>
          <w:szCs w:val="16"/>
        </w:rPr>
        <w:t xml:space="preserve"> V</w:t>
      </w:r>
      <w:r>
        <w:rPr>
          <w:sz w:val="16"/>
          <w:szCs w:val="16"/>
        </w:rPr>
        <w:t>t</w:t>
      </w:r>
      <w:r w:rsidRPr="00F02AEA">
        <w:rPr>
          <w:sz w:val="16"/>
          <w:szCs w:val="16"/>
        </w:rPr>
        <w:t xml:space="preserve"> selle kohta: </w:t>
      </w:r>
      <w:r w:rsidRPr="002F667B">
        <w:rPr>
          <w:sz w:val="16"/>
          <w:szCs w:val="16"/>
        </w:rPr>
        <w:t>Analüüs</w:t>
      </w:r>
      <w:r w:rsidRPr="0069134F">
        <w:rPr>
          <w:sz w:val="16"/>
          <w:szCs w:val="16"/>
        </w:rPr>
        <w:t xml:space="preserve"> „Ametnike teenistussuhete üleviimine töölepingulisele alusele“, lk 1</w:t>
      </w:r>
      <w:r>
        <w:rPr>
          <w:sz w:val="16"/>
          <w:szCs w:val="16"/>
        </w:rPr>
        <w:t>0</w:t>
      </w:r>
      <w:r w:rsidRPr="0069134F">
        <w:rPr>
          <w:sz w:val="16"/>
          <w:szCs w:val="16"/>
        </w:rPr>
        <w:t xml:space="preserve">. Valminud 27.01.2023. Väljaandja: Eesti Teaduste Akadeemia (Riigiõiguse Sihtkapital). Kättesaadav arvutivõrgus: </w:t>
      </w:r>
      <w:hyperlink r:id="rId2" w:history="1">
        <w:r w:rsidRPr="0069134F">
          <w:rPr>
            <w:rStyle w:val="Hyperlink"/>
            <w:sz w:val="16"/>
            <w:szCs w:val="16"/>
          </w:rPr>
          <w:t>https://www.akadeemia.ee/wp-content/uploads/2023/02/ametnike-teenistussuhete-uleviimine-toolepingulisele-alusele.pdf</w:t>
        </w:r>
      </w:hyperlink>
    </w:p>
  </w:footnote>
  <w:footnote w:id="3">
    <w:p w14:paraId="6ABD2C1C" w14:textId="77777777" w:rsidR="00FA264C" w:rsidRPr="00B66954" w:rsidRDefault="00FA264C" w:rsidP="00FA264C">
      <w:pPr>
        <w:pStyle w:val="FootnoteText"/>
        <w:rPr>
          <w:sz w:val="16"/>
          <w:szCs w:val="16"/>
        </w:rPr>
      </w:pPr>
      <w:r w:rsidRPr="00B66954">
        <w:rPr>
          <w:rStyle w:val="FootnoteReference"/>
          <w:sz w:val="16"/>
          <w:szCs w:val="16"/>
        </w:rPr>
        <w:footnoteRef/>
      </w:r>
      <w:r w:rsidRPr="00B66954">
        <w:rPr>
          <w:sz w:val="16"/>
          <w:szCs w:val="16"/>
        </w:rPr>
        <w:t xml:space="preserve"> Vt K. Lang/I. Pärnamägi/E. Sarapuu</w:t>
      </w:r>
      <w:r>
        <w:rPr>
          <w:sz w:val="16"/>
          <w:szCs w:val="16"/>
        </w:rPr>
        <w:t>,</w:t>
      </w:r>
      <w:r w:rsidRPr="00B66954">
        <w:rPr>
          <w:sz w:val="16"/>
          <w:szCs w:val="16"/>
        </w:rPr>
        <w:t xml:space="preserve"> Avaliku teenistuse seaduse käsiraamat,</w:t>
      </w:r>
      <w:r>
        <w:rPr>
          <w:sz w:val="16"/>
          <w:szCs w:val="16"/>
        </w:rPr>
        <w:t xml:space="preserve"> lk 39,</w:t>
      </w:r>
      <w:r w:rsidRPr="00B66954">
        <w:rPr>
          <w:sz w:val="16"/>
          <w:szCs w:val="16"/>
        </w:rPr>
        <w:t xml:space="preserve"> Justiitsministeerium, 2013. Arvutivõrgus kättesaadav: </w:t>
      </w:r>
      <w:hyperlink r:id="rId3" w:history="1">
        <w:r w:rsidRPr="00B66954">
          <w:rPr>
            <w:rStyle w:val="Hyperlink"/>
            <w:sz w:val="16"/>
            <w:szCs w:val="16"/>
          </w:rPr>
          <w:t>https://www.fin.ee/sites/default/files/documents/2021-02/avaliku_teenistuse_seaduse_kasiraamat.pdf</w:t>
        </w:r>
      </w:hyperlink>
      <w:r w:rsidRPr="00B66954">
        <w:rPr>
          <w:sz w:val="16"/>
          <w:szCs w:val="16"/>
        </w:rPr>
        <w:t xml:space="preserve">  </w:t>
      </w:r>
    </w:p>
  </w:footnote>
  <w:footnote w:id="4">
    <w:p w14:paraId="76523018" w14:textId="77777777" w:rsidR="00FA264C" w:rsidRPr="000A5ED9" w:rsidRDefault="00FA264C" w:rsidP="00FA264C">
      <w:pPr>
        <w:pStyle w:val="FootnoteText"/>
        <w:rPr>
          <w:sz w:val="16"/>
          <w:szCs w:val="16"/>
        </w:rPr>
      </w:pPr>
      <w:r w:rsidRPr="000A5ED9">
        <w:rPr>
          <w:rStyle w:val="FootnoteReference"/>
          <w:sz w:val="16"/>
          <w:szCs w:val="16"/>
        </w:rPr>
        <w:footnoteRef/>
      </w:r>
      <w:r w:rsidRPr="000A5ED9">
        <w:rPr>
          <w:sz w:val="16"/>
          <w:szCs w:val="16"/>
        </w:rPr>
        <w:t xml:space="preserve"> Kättesaadav veebis:</w:t>
      </w:r>
      <w:r>
        <w:rPr>
          <w:rFonts w:eastAsia="Times New Roman" w:cs="Times New Roman"/>
          <w:color w:val="0000FF"/>
          <w:kern w:val="0"/>
          <w:sz w:val="16"/>
          <w:szCs w:val="16"/>
          <w:u w:val="single"/>
          <w14:ligatures w14:val="none"/>
        </w:rPr>
        <w:t xml:space="preserve"> </w:t>
      </w:r>
      <w:hyperlink r:id="rId4" w:history="1">
        <w:r w:rsidRPr="00A81026">
          <w:rPr>
            <w:rStyle w:val="Hyperlink"/>
            <w:rFonts w:eastAsia="Times New Roman" w:cs="Times New Roman"/>
            <w:kern w:val="0"/>
            <w:sz w:val="16"/>
            <w:szCs w:val="16"/>
            <w14:ligatures w14:val="none"/>
          </w:rPr>
          <w:t>https://valitsus.ee/valitsuse-eesmargid-ja-tegevused/valitsemise-alused/koalitsioonilepe-2025-2027</w:t>
        </w:r>
      </w:hyperlink>
      <w:r>
        <w:rPr>
          <w:rFonts w:eastAsia="Times New Roman" w:cs="Times New Roman"/>
          <w:color w:val="0000FF"/>
          <w:kern w:val="0"/>
          <w:sz w:val="16"/>
          <w:szCs w:val="16"/>
          <w:u w:val="single"/>
          <w14:ligatures w14:val="none"/>
        </w:rPr>
        <w:t xml:space="preserve"> </w:t>
      </w:r>
    </w:p>
  </w:footnote>
  <w:footnote w:id="5">
    <w:p w14:paraId="4A0C0792" w14:textId="77777777" w:rsidR="00FA264C" w:rsidRPr="00A52321" w:rsidRDefault="00FA264C" w:rsidP="00FA264C">
      <w:pPr>
        <w:pStyle w:val="FootnoteText"/>
        <w:rPr>
          <w:sz w:val="16"/>
          <w:szCs w:val="16"/>
        </w:rPr>
      </w:pPr>
      <w:r w:rsidRPr="00A52321">
        <w:rPr>
          <w:rStyle w:val="FootnoteReference"/>
          <w:sz w:val="16"/>
          <w:szCs w:val="16"/>
        </w:rPr>
        <w:footnoteRef/>
      </w:r>
      <w:r w:rsidRPr="00A52321">
        <w:rPr>
          <w:sz w:val="16"/>
          <w:szCs w:val="16"/>
        </w:rPr>
        <w:t xml:space="preserve"> Ebaselgeks jääb ka see, miks on tähtaeg ette nähtud kõikidele juhtidele, välja arvatud peadirektori asetäitjatele.</w:t>
      </w:r>
    </w:p>
  </w:footnote>
  <w:footnote w:id="6">
    <w:p w14:paraId="4A8B59CF" w14:textId="77777777" w:rsidR="00FA264C" w:rsidRPr="000A5ED9" w:rsidRDefault="00FA264C" w:rsidP="00FA264C">
      <w:pPr>
        <w:pStyle w:val="FootnoteText"/>
        <w:rPr>
          <w:sz w:val="16"/>
          <w:szCs w:val="16"/>
        </w:rPr>
      </w:pPr>
      <w:r w:rsidRPr="000A5ED9">
        <w:rPr>
          <w:rStyle w:val="FootnoteReference"/>
          <w:sz w:val="16"/>
          <w:szCs w:val="16"/>
        </w:rPr>
        <w:footnoteRef/>
      </w:r>
      <w:r w:rsidRPr="000A5ED9">
        <w:rPr>
          <w:sz w:val="16"/>
          <w:szCs w:val="16"/>
        </w:rPr>
        <w:t xml:space="preserve"> Kättesaadav veebis: </w:t>
      </w:r>
      <w:hyperlink r:id="rId5" w:history="1">
        <w:r w:rsidRPr="000A5ED9">
          <w:rPr>
            <w:rStyle w:val="Hyperlink"/>
            <w:sz w:val="16"/>
            <w:szCs w:val="16"/>
          </w:rPr>
          <w:t>https://eur-lex.europa.eu/legal-content/ET/TXT/PDF/?uri=CELEX:31999L0070&amp;from=EN</w:t>
        </w:r>
      </w:hyperlink>
      <w:r w:rsidRPr="000A5ED9">
        <w:rPr>
          <w:sz w:val="16"/>
          <w:szCs w:val="16"/>
        </w:rPr>
        <w:t xml:space="preserve"> </w:t>
      </w:r>
    </w:p>
  </w:footnote>
  <w:footnote w:id="7">
    <w:p w14:paraId="5F013802" w14:textId="77777777" w:rsidR="00FA264C" w:rsidRPr="006C33AB" w:rsidRDefault="00FA264C" w:rsidP="00FA264C">
      <w:pPr>
        <w:pStyle w:val="FootnoteText"/>
        <w:rPr>
          <w:sz w:val="16"/>
          <w:szCs w:val="16"/>
        </w:rPr>
      </w:pPr>
      <w:r>
        <w:rPr>
          <w:rStyle w:val="FootnoteReference"/>
        </w:rPr>
        <w:footnoteRef/>
      </w:r>
      <w:r>
        <w:t xml:space="preserve"> </w:t>
      </w:r>
      <w:r w:rsidRPr="00B66954">
        <w:rPr>
          <w:sz w:val="16"/>
          <w:szCs w:val="16"/>
        </w:rPr>
        <w:t>Vt K. Lang/I. Pärnamägi/E. Sarapuu</w:t>
      </w:r>
      <w:r>
        <w:rPr>
          <w:sz w:val="16"/>
          <w:szCs w:val="16"/>
        </w:rPr>
        <w:t>,</w:t>
      </w:r>
      <w:r w:rsidRPr="00B66954">
        <w:rPr>
          <w:sz w:val="16"/>
          <w:szCs w:val="16"/>
        </w:rPr>
        <w:t xml:space="preserve"> Avaliku teenistuse seaduse käsiraamat,</w:t>
      </w:r>
      <w:r>
        <w:rPr>
          <w:sz w:val="16"/>
          <w:szCs w:val="16"/>
        </w:rPr>
        <w:t xml:space="preserve"> lk 40,</w:t>
      </w:r>
      <w:r w:rsidRPr="00B66954">
        <w:rPr>
          <w:sz w:val="16"/>
          <w:szCs w:val="16"/>
        </w:rPr>
        <w:t xml:space="preserve"> Justiitsministeerium, 2013. Arvutivõrgus kättesaadav: </w:t>
      </w:r>
      <w:hyperlink r:id="rId6" w:history="1">
        <w:r w:rsidRPr="00B66954">
          <w:rPr>
            <w:rStyle w:val="Hyperlink"/>
            <w:sz w:val="16"/>
            <w:szCs w:val="16"/>
          </w:rPr>
          <w:t>https://www.fin.ee/sites/default/files/documents/2021-02/avaliku_teenistuse_seaduse_kasiraamat.pdf</w:t>
        </w:r>
      </w:hyperlink>
      <w:r w:rsidRPr="00B66954">
        <w:rPr>
          <w:sz w:val="16"/>
          <w:szCs w:val="16"/>
        </w:rPr>
        <w:t xml:space="preserve">  </w:t>
      </w:r>
    </w:p>
  </w:footnote>
  <w:footnote w:id="8">
    <w:p w14:paraId="4CCE8E73" w14:textId="77777777" w:rsidR="00FA264C" w:rsidRDefault="00FA264C" w:rsidP="00FA264C">
      <w:pPr>
        <w:pStyle w:val="FootnoteText"/>
      </w:pPr>
      <w:r>
        <w:rPr>
          <w:rStyle w:val="FootnoteReference"/>
        </w:rPr>
        <w:footnoteRef/>
      </w:r>
      <w:r>
        <w:t xml:space="preserve"> </w:t>
      </w:r>
      <w:r>
        <w:rPr>
          <w:sz w:val="16"/>
          <w:szCs w:val="16"/>
        </w:rPr>
        <w:t>Vt A</w:t>
      </w:r>
      <w:r w:rsidRPr="0069134F">
        <w:rPr>
          <w:sz w:val="16"/>
          <w:szCs w:val="16"/>
        </w:rPr>
        <w:t>nalüüs „Ametnike teenistussuhete üleviimine töölepingulisele alusele“, lk 1</w:t>
      </w:r>
      <w:r>
        <w:rPr>
          <w:sz w:val="16"/>
          <w:szCs w:val="16"/>
        </w:rPr>
        <w:t>1</w:t>
      </w:r>
      <w:r w:rsidRPr="0069134F">
        <w:rPr>
          <w:sz w:val="16"/>
          <w:szCs w:val="16"/>
        </w:rPr>
        <w:t xml:space="preserve">. Valminud 27.01.2023. Väljaandja: Eesti Teaduste Akadeemia (Riigiõiguse Sihtkapital). Kättesaadav arvutivõrgus: </w:t>
      </w:r>
      <w:hyperlink r:id="rId7" w:history="1">
        <w:r w:rsidRPr="0069134F">
          <w:rPr>
            <w:rStyle w:val="Hyperlink"/>
            <w:sz w:val="16"/>
            <w:szCs w:val="16"/>
          </w:rPr>
          <w:t>https://www.akadeemia.ee/wp-content/uploads/2023/02/ametnike-teenistussuhete-uleviimine-toolepingulisele-alusele.pdf</w:t>
        </w:r>
      </w:hyperlink>
    </w:p>
  </w:footnote>
  <w:footnote w:id="9">
    <w:p w14:paraId="2B3BB6EF" w14:textId="77777777" w:rsidR="00FA264C" w:rsidRPr="000A5ED9" w:rsidRDefault="00FA264C" w:rsidP="00FA264C">
      <w:pPr>
        <w:pStyle w:val="FootnoteText"/>
        <w:rPr>
          <w:sz w:val="16"/>
          <w:szCs w:val="16"/>
        </w:rPr>
      </w:pPr>
      <w:r w:rsidRPr="000A5ED9">
        <w:rPr>
          <w:rStyle w:val="FootnoteReference"/>
          <w:sz w:val="16"/>
          <w:szCs w:val="16"/>
        </w:rPr>
        <w:footnoteRef/>
      </w:r>
      <w:r w:rsidRPr="000A5ED9">
        <w:rPr>
          <w:sz w:val="16"/>
          <w:szCs w:val="16"/>
        </w:rPr>
        <w:t xml:space="preserve"> Töölepingu seaduse käsiraamat, 2024, lk 24 ja lk 33. Kättesaadav veebis </w:t>
      </w:r>
      <w:hyperlink r:id="rId8" w:history="1">
        <w:r w:rsidRPr="000A5ED9">
          <w:rPr>
            <w:rStyle w:val="Hyperlink"/>
            <w:sz w:val="16"/>
            <w:szCs w:val="16"/>
          </w:rPr>
          <w:t>https://s3-web-1a.tehik.ee/tooelu-live-web-prd/s3fs-public/2024-09/TLS%20selgitused_2024%20august.pdf</w:t>
        </w:r>
      </w:hyperlink>
      <w:r w:rsidRPr="000A5ED9">
        <w:rPr>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AD1C9" w14:textId="77777777" w:rsidR="00D1484F" w:rsidRPr="008D62BE" w:rsidRDefault="00D1484F" w:rsidP="008D62BE">
    <w:pPr>
      <w:tabs>
        <w:tab w:val="center" w:pos="4395"/>
      </w:tabs>
      <w:rPr>
        <w:rFonts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1014ED"/>
    <w:multiLevelType w:val="hybridMultilevel"/>
    <w:tmpl w:val="98BE163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nsid w:val="2F767152"/>
    <w:multiLevelType w:val="hybridMultilevel"/>
    <w:tmpl w:val="F0E0786E"/>
    <w:lvl w:ilvl="0" w:tplc="20BE6818">
      <w:start w:val="1"/>
      <w:numFmt w:val="decimal"/>
      <w:lvlText w:val="%1)"/>
      <w:lvlJc w:val="left"/>
      <w:pPr>
        <w:ind w:left="502" w:hanging="360"/>
      </w:pPr>
      <w:rPr>
        <w:rFonts w:eastAsiaTheme="minorEastAsia"/>
        <w:b w:val="0"/>
        <w:bCs w:val="0"/>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
    <w:nsid w:val="43A715AD"/>
    <w:multiLevelType w:val="hybridMultilevel"/>
    <w:tmpl w:val="18FCE75C"/>
    <w:lvl w:ilvl="0" w:tplc="9A4869B8">
      <w:start w:val="1"/>
      <w:numFmt w:val="decimal"/>
      <w:lvlText w:val="%1)"/>
      <w:lvlJc w:val="left"/>
      <w:pPr>
        <w:ind w:left="360" w:hanging="360"/>
      </w:p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3">
    <w:nsid w:val="50FF1A25"/>
    <w:multiLevelType w:val="hybridMultilevel"/>
    <w:tmpl w:val="DFEAAFC8"/>
    <w:lvl w:ilvl="0" w:tplc="D48CB06E">
      <w:start w:val="1"/>
      <w:numFmt w:val="decimal"/>
      <w:pStyle w:val="ListParagraph"/>
      <w:lvlText w:val="%1."/>
      <w:lvlJc w:val="left"/>
      <w:pPr>
        <w:ind w:left="360" w:hanging="360"/>
      </w:pPr>
      <w:rPr>
        <w:b/>
      </w:rPr>
    </w:lvl>
    <w:lvl w:ilvl="1" w:tplc="68784F98">
      <w:start w:val="1"/>
      <w:numFmt w:val="lowerLetter"/>
      <w:lvlText w:val="%2."/>
      <w:lvlJc w:val="left"/>
      <w:pPr>
        <w:ind w:left="502" w:hanging="360"/>
      </w:pPr>
      <w:rPr>
        <w:b/>
      </w:r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4">
    <w:nsid w:val="54DA069E"/>
    <w:multiLevelType w:val="hybridMultilevel"/>
    <w:tmpl w:val="3940D99E"/>
    <w:lvl w:ilvl="0" w:tplc="0425000D">
      <w:start w:val="1"/>
      <w:numFmt w:val="bullet"/>
      <w:lvlText w:val=""/>
      <w:lvlJc w:val="left"/>
      <w:pPr>
        <w:ind w:left="360" w:hanging="360"/>
      </w:pPr>
      <w:rPr>
        <w:rFonts w:ascii="Wingdings" w:hAnsi="Wingdings" w:hint="default"/>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9E8"/>
    <w:rsid w:val="00002BB6"/>
    <w:rsid w:val="0000377A"/>
    <w:rsid w:val="00036A36"/>
    <w:rsid w:val="0004704F"/>
    <w:rsid w:val="000566AB"/>
    <w:rsid w:val="0006149B"/>
    <w:rsid w:val="0006297B"/>
    <w:rsid w:val="0008047C"/>
    <w:rsid w:val="000813B1"/>
    <w:rsid w:val="000857DF"/>
    <w:rsid w:val="000A5ED9"/>
    <w:rsid w:val="000A612F"/>
    <w:rsid w:val="000B24EF"/>
    <w:rsid w:val="000B4E20"/>
    <w:rsid w:val="000C10F5"/>
    <w:rsid w:val="000C5260"/>
    <w:rsid w:val="000C7AE4"/>
    <w:rsid w:val="000D0140"/>
    <w:rsid w:val="000D10D6"/>
    <w:rsid w:val="000D1EF4"/>
    <w:rsid w:val="000D7B89"/>
    <w:rsid w:val="000E16D9"/>
    <w:rsid w:val="000F3BEE"/>
    <w:rsid w:val="000F69E8"/>
    <w:rsid w:val="001058A8"/>
    <w:rsid w:val="00107E70"/>
    <w:rsid w:val="001369DC"/>
    <w:rsid w:val="001371B2"/>
    <w:rsid w:val="001406FD"/>
    <w:rsid w:val="001512D5"/>
    <w:rsid w:val="001518F3"/>
    <w:rsid w:val="001579B5"/>
    <w:rsid w:val="00160C69"/>
    <w:rsid w:val="001678B1"/>
    <w:rsid w:val="0017062E"/>
    <w:rsid w:val="00173228"/>
    <w:rsid w:val="00190C46"/>
    <w:rsid w:val="00193FE7"/>
    <w:rsid w:val="001A60B5"/>
    <w:rsid w:val="001D2373"/>
    <w:rsid w:val="002050B6"/>
    <w:rsid w:val="00205F90"/>
    <w:rsid w:val="00207F34"/>
    <w:rsid w:val="002102AE"/>
    <w:rsid w:val="00220D32"/>
    <w:rsid w:val="0022248D"/>
    <w:rsid w:val="002254D0"/>
    <w:rsid w:val="00230F61"/>
    <w:rsid w:val="00237366"/>
    <w:rsid w:val="00244C21"/>
    <w:rsid w:val="0025369E"/>
    <w:rsid w:val="0026403F"/>
    <w:rsid w:val="002703EB"/>
    <w:rsid w:val="00270AA5"/>
    <w:rsid w:val="00272D4C"/>
    <w:rsid w:val="00275915"/>
    <w:rsid w:val="002836F9"/>
    <w:rsid w:val="002934F0"/>
    <w:rsid w:val="002A17BB"/>
    <w:rsid w:val="002A2268"/>
    <w:rsid w:val="002B15D9"/>
    <w:rsid w:val="002B2AAB"/>
    <w:rsid w:val="002C31CD"/>
    <w:rsid w:val="002D397B"/>
    <w:rsid w:val="002D7A96"/>
    <w:rsid w:val="002E4C6C"/>
    <w:rsid w:val="002F0320"/>
    <w:rsid w:val="002F667B"/>
    <w:rsid w:val="0031213C"/>
    <w:rsid w:val="00326042"/>
    <w:rsid w:val="003303CB"/>
    <w:rsid w:val="0033697B"/>
    <w:rsid w:val="00337F66"/>
    <w:rsid w:val="00347840"/>
    <w:rsid w:val="003554FF"/>
    <w:rsid w:val="00356B1D"/>
    <w:rsid w:val="003744DD"/>
    <w:rsid w:val="00395581"/>
    <w:rsid w:val="003971D1"/>
    <w:rsid w:val="003E2CC4"/>
    <w:rsid w:val="003E4FBD"/>
    <w:rsid w:val="003E7B40"/>
    <w:rsid w:val="003F0AC9"/>
    <w:rsid w:val="00400639"/>
    <w:rsid w:val="00400BAD"/>
    <w:rsid w:val="004032F9"/>
    <w:rsid w:val="004035BF"/>
    <w:rsid w:val="00412922"/>
    <w:rsid w:val="00422737"/>
    <w:rsid w:val="00425EAD"/>
    <w:rsid w:val="00434CC0"/>
    <w:rsid w:val="0044360B"/>
    <w:rsid w:val="00456E67"/>
    <w:rsid w:val="004574FF"/>
    <w:rsid w:val="004579D3"/>
    <w:rsid w:val="00472A7F"/>
    <w:rsid w:val="004738A5"/>
    <w:rsid w:val="00473C01"/>
    <w:rsid w:val="00482BC2"/>
    <w:rsid w:val="004927E1"/>
    <w:rsid w:val="004C2141"/>
    <w:rsid w:val="004E01AF"/>
    <w:rsid w:val="004E2513"/>
    <w:rsid w:val="004F2488"/>
    <w:rsid w:val="004F30F1"/>
    <w:rsid w:val="005017B0"/>
    <w:rsid w:val="00512509"/>
    <w:rsid w:val="00515F8B"/>
    <w:rsid w:val="0051607C"/>
    <w:rsid w:val="00521E42"/>
    <w:rsid w:val="005275A4"/>
    <w:rsid w:val="00534DBC"/>
    <w:rsid w:val="005355B5"/>
    <w:rsid w:val="00536224"/>
    <w:rsid w:val="00543833"/>
    <w:rsid w:val="00545670"/>
    <w:rsid w:val="00554AE0"/>
    <w:rsid w:val="00557E60"/>
    <w:rsid w:val="00583ADF"/>
    <w:rsid w:val="005960A2"/>
    <w:rsid w:val="0059695F"/>
    <w:rsid w:val="005A0E37"/>
    <w:rsid w:val="005A1DEB"/>
    <w:rsid w:val="005A2491"/>
    <w:rsid w:val="005B2F27"/>
    <w:rsid w:val="005B5036"/>
    <w:rsid w:val="005B598F"/>
    <w:rsid w:val="005C0ED2"/>
    <w:rsid w:val="005C185A"/>
    <w:rsid w:val="005C3E07"/>
    <w:rsid w:val="005C7CC8"/>
    <w:rsid w:val="005D1D18"/>
    <w:rsid w:val="005D2938"/>
    <w:rsid w:val="005D4F6A"/>
    <w:rsid w:val="005E587E"/>
    <w:rsid w:val="005F602B"/>
    <w:rsid w:val="00603F9D"/>
    <w:rsid w:val="00625A86"/>
    <w:rsid w:val="006326F2"/>
    <w:rsid w:val="00641FF9"/>
    <w:rsid w:val="00650699"/>
    <w:rsid w:val="00662E19"/>
    <w:rsid w:val="00667C4C"/>
    <w:rsid w:val="0067046D"/>
    <w:rsid w:val="00671493"/>
    <w:rsid w:val="006B30F4"/>
    <w:rsid w:val="006C468E"/>
    <w:rsid w:val="006D03A8"/>
    <w:rsid w:val="006F71DB"/>
    <w:rsid w:val="00703813"/>
    <w:rsid w:val="0070657F"/>
    <w:rsid w:val="00710008"/>
    <w:rsid w:val="00732603"/>
    <w:rsid w:val="007335BF"/>
    <w:rsid w:val="00737124"/>
    <w:rsid w:val="007579C1"/>
    <w:rsid w:val="007638FD"/>
    <w:rsid w:val="00772091"/>
    <w:rsid w:val="007735C9"/>
    <w:rsid w:val="0077384C"/>
    <w:rsid w:val="00781624"/>
    <w:rsid w:val="00781EA1"/>
    <w:rsid w:val="00792300"/>
    <w:rsid w:val="007A2AAF"/>
    <w:rsid w:val="007B05C5"/>
    <w:rsid w:val="007C26D8"/>
    <w:rsid w:val="007C350C"/>
    <w:rsid w:val="007C582C"/>
    <w:rsid w:val="007C5E28"/>
    <w:rsid w:val="007E2FE3"/>
    <w:rsid w:val="00800CE7"/>
    <w:rsid w:val="008059D6"/>
    <w:rsid w:val="00806E1E"/>
    <w:rsid w:val="00815D64"/>
    <w:rsid w:val="00823920"/>
    <w:rsid w:val="00841430"/>
    <w:rsid w:val="00841A68"/>
    <w:rsid w:val="00841B56"/>
    <w:rsid w:val="00842461"/>
    <w:rsid w:val="008622B3"/>
    <w:rsid w:val="00873CBC"/>
    <w:rsid w:val="00877C0D"/>
    <w:rsid w:val="008819B1"/>
    <w:rsid w:val="00897625"/>
    <w:rsid w:val="008A62CF"/>
    <w:rsid w:val="008B13D3"/>
    <w:rsid w:val="008B4AFB"/>
    <w:rsid w:val="008C041B"/>
    <w:rsid w:val="008C2F1F"/>
    <w:rsid w:val="008D0E35"/>
    <w:rsid w:val="008D37C1"/>
    <w:rsid w:val="008D6117"/>
    <w:rsid w:val="008D62BE"/>
    <w:rsid w:val="008E2E0A"/>
    <w:rsid w:val="008E3606"/>
    <w:rsid w:val="008E5826"/>
    <w:rsid w:val="008E5A61"/>
    <w:rsid w:val="008F46E8"/>
    <w:rsid w:val="009029F7"/>
    <w:rsid w:val="00905F53"/>
    <w:rsid w:val="00927C3B"/>
    <w:rsid w:val="00942887"/>
    <w:rsid w:val="00944A24"/>
    <w:rsid w:val="00944A4C"/>
    <w:rsid w:val="00952413"/>
    <w:rsid w:val="00954F44"/>
    <w:rsid w:val="00963A6B"/>
    <w:rsid w:val="00970D1A"/>
    <w:rsid w:val="00987AB0"/>
    <w:rsid w:val="00987DBB"/>
    <w:rsid w:val="009A7C74"/>
    <w:rsid w:val="009C265D"/>
    <w:rsid w:val="009C305C"/>
    <w:rsid w:val="009C5371"/>
    <w:rsid w:val="009C67EE"/>
    <w:rsid w:val="009E009E"/>
    <w:rsid w:val="009E3929"/>
    <w:rsid w:val="009E557E"/>
    <w:rsid w:val="00A141BD"/>
    <w:rsid w:val="00A14DEC"/>
    <w:rsid w:val="00A2746F"/>
    <w:rsid w:val="00A32F50"/>
    <w:rsid w:val="00A357E8"/>
    <w:rsid w:val="00A41FE2"/>
    <w:rsid w:val="00A559BF"/>
    <w:rsid w:val="00A618FD"/>
    <w:rsid w:val="00A630F1"/>
    <w:rsid w:val="00A8466B"/>
    <w:rsid w:val="00A906DA"/>
    <w:rsid w:val="00A924D0"/>
    <w:rsid w:val="00AA27B7"/>
    <w:rsid w:val="00AA4AB8"/>
    <w:rsid w:val="00AC18FB"/>
    <w:rsid w:val="00AD3A55"/>
    <w:rsid w:val="00AE255B"/>
    <w:rsid w:val="00B00AFD"/>
    <w:rsid w:val="00B06A7D"/>
    <w:rsid w:val="00B12751"/>
    <w:rsid w:val="00B24633"/>
    <w:rsid w:val="00B30387"/>
    <w:rsid w:val="00B4097B"/>
    <w:rsid w:val="00B6322C"/>
    <w:rsid w:val="00B63E55"/>
    <w:rsid w:val="00B7252B"/>
    <w:rsid w:val="00B93EC3"/>
    <w:rsid w:val="00B9640E"/>
    <w:rsid w:val="00B96DA9"/>
    <w:rsid w:val="00BA2960"/>
    <w:rsid w:val="00BA3A68"/>
    <w:rsid w:val="00BA4CE9"/>
    <w:rsid w:val="00BA6F4A"/>
    <w:rsid w:val="00BC2BF1"/>
    <w:rsid w:val="00BC6C9B"/>
    <w:rsid w:val="00BD102D"/>
    <w:rsid w:val="00BE7AD8"/>
    <w:rsid w:val="00BF179D"/>
    <w:rsid w:val="00C10A66"/>
    <w:rsid w:val="00C2142B"/>
    <w:rsid w:val="00C21CCB"/>
    <w:rsid w:val="00C256D3"/>
    <w:rsid w:val="00C26019"/>
    <w:rsid w:val="00C3231C"/>
    <w:rsid w:val="00C33EB4"/>
    <w:rsid w:val="00C34B76"/>
    <w:rsid w:val="00C37552"/>
    <w:rsid w:val="00C42FAE"/>
    <w:rsid w:val="00C46B07"/>
    <w:rsid w:val="00C600AC"/>
    <w:rsid w:val="00C76345"/>
    <w:rsid w:val="00C943BC"/>
    <w:rsid w:val="00C94609"/>
    <w:rsid w:val="00CA2644"/>
    <w:rsid w:val="00CA3971"/>
    <w:rsid w:val="00CA4B7E"/>
    <w:rsid w:val="00CA4FB4"/>
    <w:rsid w:val="00CB6D41"/>
    <w:rsid w:val="00CB6EE6"/>
    <w:rsid w:val="00CC2162"/>
    <w:rsid w:val="00CC2AB1"/>
    <w:rsid w:val="00CD4D1B"/>
    <w:rsid w:val="00CE06CF"/>
    <w:rsid w:val="00CE5C49"/>
    <w:rsid w:val="00D043D2"/>
    <w:rsid w:val="00D116B3"/>
    <w:rsid w:val="00D1484F"/>
    <w:rsid w:val="00D24E66"/>
    <w:rsid w:val="00D62BCB"/>
    <w:rsid w:val="00D96D07"/>
    <w:rsid w:val="00DA0C7B"/>
    <w:rsid w:val="00DA3D02"/>
    <w:rsid w:val="00DD0749"/>
    <w:rsid w:val="00DD151C"/>
    <w:rsid w:val="00DD2D83"/>
    <w:rsid w:val="00DD711D"/>
    <w:rsid w:val="00DE0C28"/>
    <w:rsid w:val="00DE7912"/>
    <w:rsid w:val="00DF2BB0"/>
    <w:rsid w:val="00DF524C"/>
    <w:rsid w:val="00DF696A"/>
    <w:rsid w:val="00E06FB1"/>
    <w:rsid w:val="00E10F68"/>
    <w:rsid w:val="00E130C5"/>
    <w:rsid w:val="00E173B6"/>
    <w:rsid w:val="00E41689"/>
    <w:rsid w:val="00E47275"/>
    <w:rsid w:val="00E56B8F"/>
    <w:rsid w:val="00E7623F"/>
    <w:rsid w:val="00E81E70"/>
    <w:rsid w:val="00E94A93"/>
    <w:rsid w:val="00EA5075"/>
    <w:rsid w:val="00EB2288"/>
    <w:rsid w:val="00EB3258"/>
    <w:rsid w:val="00EC2E1B"/>
    <w:rsid w:val="00EC49E4"/>
    <w:rsid w:val="00ED49DE"/>
    <w:rsid w:val="00EE0974"/>
    <w:rsid w:val="00EE2774"/>
    <w:rsid w:val="00EE30E7"/>
    <w:rsid w:val="00EF7824"/>
    <w:rsid w:val="00F039D2"/>
    <w:rsid w:val="00F23783"/>
    <w:rsid w:val="00F33CB8"/>
    <w:rsid w:val="00F344CC"/>
    <w:rsid w:val="00F40DEC"/>
    <w:rsid w:val="00F440F7"/>
    <w:rsid w:val="00F47331"/>
    <w:rsid w:val="00F57FDF"/>
    <w:rsid w:val="00F602ED"/>
    <w:rsid w:val="00F764DD"/>
    <w:rsid w:val="00F76F83"/>
    <w:rsid w:val="00F86E10"/>
    <w:rsid w:val="00F93B31"/>
    <w:rsid w:val="00FA264C"/>
    <w:rsid w:val="00FC2554"/>
    <w:rsid w:val="00FE012B"/>
    <w:rsid w:val="00FE4079"/>
    <w:rsid w:val="00FF3619"/>
  </w:rsids>
  <m:mathPr>
    <m:mathFont m:val="Cambria Math"/>
    <m:brkBin m:val="before"/>
    <m:brkBinSub m:val="--"/>
    <m:smallFrac m:val="0"/>
    <m:dispDef/>
    <m:lMargin m:val="0"/>
    <m:rMargin m:val="0"/>
    <m:defJc m:val="centerGroup"/>
    <m:wrapIndent m:val="1440"/>
    <m:intLim m:val="subSup"/>
    <m:naryLim m:val="undOvr"/>
  </m:mathPr>
  <w:themeFontLang w:val="et-E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28AFFD"/>
  <w15:docId w15:val="{C8C52B5C-7CC7-431C-AE81-8E6AFE16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F8B"/>
    <w:rPr>
      <w:rFonts w:ascii="Arial" w:hAnsi="Arial"/>
      <w:lang w:eastAsia="en-US"/>
    </w:rPr>
  </w:style>
  <w:style w:type="paragraph" w:styleId="Heading1">
    <w:name w:val="heading 1"/>
    <w:basedOn w:val="Normal"/>
    <w:next w:val="Normal"/>
    <w:rsid w:val="000B4E20"/>
    <w:pPr>
      <w:outlineLvl w:val="0"/>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5F8B"/>
    <w:rPr>
      <w:rFonts w:ascii="Tahoma" w:hAnsi="Tahoma" w:cs="Tahoma"/>
      <w:sz w:val="16"/>
      <w:szCs w:val="16"/>
    </w:rPr>
  </w:style>
  <w:style w:type="character" w:styleId="PlaceholderText">
    <w:name w:val="Placeholder Text"/>
    <w:basedOn w:val="DefaultParagraphFont"/>
    <w:uiPriority w:val="99"/>
    <w:semiHidden/>
    <w:rsid w:val="00D116B3"/>
    <w:rPr>
      <w:color w:val="808080"/>
    </w:rPr>
  </w:style>
  <w:style w:type="paragraph" w:styleId="Header">
    <w:name w:val="header"/>
    <w:basedOn w:val="Normal"/>
    <w:link w:val="HeaderChar"/>
    <w:uiPriority w:val="99"/>
    <w:unhideWhenUsed/>
    <w:rsid w:val="002A2268"/>
    <w:pPr>
      <w:tabs>
        <w:tab w:val="center" w:pos="4536"/>
        <w:tab w:val="right" w:pos="9072"/>
      </w:tabs>
    </w:pPr>
  </w:style>
  <w:style w:type="character" w:customStyle="1" w:styleId="HeaderChar">
    <w:name w:val="Header Char"/>
    <w:basedOn w:val="DefaultParagraphFont"/>
    <w:link w:val="Header"/>
    <w:uiPriority w:val="99"/>
    <w:rsid w:val="002A2268"/>
    <w:rPr>
      <w:rFonts w:ascii="Arial" w:hAnsi="Arial"/>
      <w:lang w:eastAsia="en-US"/>
    </w:rPr>
  </w:style>
  <w:style w:type="paragraph" w:styleId="Footer">
    <w:name w:val="footer"/>
    <w:basedOn w:val="Normal"/>
    <w:link w:val="FooterChar"/>
    <w:uiPriority w:val="99"/>
    <w:unhideWhenUsed/>
    <w:rsid w:val="002A2268"/>
    <w:pPr>
      <w:tabs>
        <w:tab w:val="center" w:pos="4536"/>
        <w:tab w:val="right" w:pos="9072"/>
      </w:tabs>
    </w:pPr>
  </w:style>
  <w:style w:type="character" w:customStyle="1" w:styleId="FooterChar">
    <w:name w:val="Footer Char"/>
    <w:basedOn w:val="DefaultParagraphFont"/>
    <w:link w:val="Footer"/>
    <w:uiPriority w:val="99"/>
    <w:rsid w:val="002A2268"/>
    <w:rPr>
      <w:rFonts w:ascii="Arial" w:hAnsi="Arial"/>
      <w:lang w:eastAsia="en-US"/>
    </w:rPr>
  </w:style>
  <w:style w:type="paragraph" w:customStyle="1" w:styleId="Jalus1">
    <w:name w:val="Jalus1"/>
    <w:autoRedefine/>
    <w:qFormat/>
    <w:rsid w:val="00400639"/>
    <w:pPr>
      <w:widowControl w:val="0"/>
      <w:suppressAutoHyphens/>
    </w:pPr>
    <w:rPr>
      <w:rFonts w:eastAsia="SimSun" w:cs="Mangal"/>
      <w:kern w:val="1"/>
      <w:szCs w:val="24"/>
      <w:lang w:eastAsia="zh-CN" w:bidi="hi-IN"/>
    </w:rPr>
  </w:style>
  <w:style w:type="paragraph" w:styleId="NoSpacing">
    <w:name w:val="No Spacing"/>
    <w:uiPriority w:val="1"/>
    <w:qFormat/>
    <w:rsid w:val="00FF3619"/>
    <w:rPr>
      <w:rFonts w:asciiTheme="minorHAnsi" w:eastAsiaTheme="minorHAnsi" w:hAnsiTheme="minorHAnsi" w:cstheme="minorBidi"/>
      <w:sz w:val="22"/>
      <w:szCs w:val="22"/>
      <w:lang w:eastAsia="en-US"/>
    </w:rPr>
  </w:style>
  <w:style w:type="paragraph" w:styleId="ListParagraph">
    <w:name w:val="List Paragraph"/>
    <w:basedOn w:val="NoSpacing"/>
    <w:uiPriority w:val="34"/>
    <w:qFormat/>
    <w:rsid w:val="00FF3619"/>
    <w:pPr>
      <w:numPr>
        <w:numId w:val="1"/>
      </w:numPr>
      <w:jc w:val="both"/>
    </w:pPr>
    <w:rPr>
      <w:rFonts w:ascii="Arial" w:hAnsi="Arial" w:cs="Arial"/>
      <w:sz w:val="20"/>
      <w:szCs w:val="20"/>
    </w:rPr>
  </w:style>
  <w:style w:type="character" w:styleId="Hyperlink">
    <w:name w:val="Hyperlink"/>
    <w:basedOn w:val="DefaultParagraphFont"/>
    <w:uiPriority w:val="99"/>
    <w:unhideWhenUsed/>
    <w:rsid w:val="00FF3619"/>
    <w:rPr>
      <w:color w:val="0000FF" w:themeColor="hyperlink"/>
      <w:u w:val="single"/>
    </w:rPr>
  </w:style>
  <w:style w:type="paragraph" w:styleId="FootnoteText">
    <w:name w:val="footnote text"/>
    <w:basedOn w:val="Normal"/>
    <w:link w:val="FootnoteTextChar"/>
    <w:uiPriority w:val="99"/>
    <w:semiHidden/>
    <w:unhideWhenUsed/>
    <w:rsid w:val="00FF3619"/>
    <w:pPr>
      <w:tabs>
        <w:tab w:val="left" w:pos="2715"/>
      </w:tabs>
      <w:jc w:val="both"/>
    </w:pPr>
    <w:rPr>
      <w:rFonts w:eastAsiaTheme="minorHAnsi" w:cs="Arial"/>
      <w:kern w:val="2"/>
      <w14:ligatures w14:val="standardContextual"/>
    </w:rPr>
  </w:style>
  <w:style w:type="character" w:customStyle="1" w:styleId="FootnoteTextChar">
    <w:name w:val="Footnote Text Char"/>
    <w:basedOn w:val="DefaultParagraphFont"/>
    <w:link w:val="FootnoteText"/>
    <w:uiPriority w:val="99"/>
    <w:semiHidden/>
    <w:rsid w:val="00FF3619"/>
    <w:rPr>
      <w:rFonts w:ascii="Arial" w:eastAsiaTheme="minorHAnsi" w:hAnsi="Arial" w:cs="Arial"/>
      <w:kern w:val="2"/>
      <w:lang w:eastAsia="en-US"/>
      <w14:ligatures w14:val="standardContextual"/>
    </w:rPr>
  </w:style>
  <w:style w:type="character" w:styleId="FootnoteReference">
    <w:name w:val="footnote reference"/>
    <w:basedOn w:val="DefaultParagraphFont"/>
    <w:uiPriority w:val="99"/>
    <w:semiHidden/>
    <w:unhideWhenUsed/>
    <w:rsid w:val="00FF3619"/>
    <w:rPr>
      <w:vertAlign w:val="superscript"/>
    </w:rPr>
  </w:style>
  <w:style w:type="character" w:customStyle="1" w:styleId="cf01">
    <w:name w:val="cf01"/>
    <w:basedOn w:val="DefaultParagraphFont"/>
    <w:rsid w:val="00FF3619"/>
    <w:rPr>
      <w:rFonts w:ascii="Segoe UI" w:hAnsi="Segoe UI" w:cs="Segoe UI" w:hint="default"/>
      <w:sz w:val="18"/>
      <w:szCs w:val="18"/>
    </w:rPr>
  </w:style>
  <w:style w:type="character" w:styleId="CommentReference">
    <w:name w:val="annotation reference"/>
    <w:basedOn w:val="DefaultParagraphFont"/>
    <w:uiPriority w:val="99"/>
    <w:semiHidden/>
    <w:unhideWhenUsed/>
    <w:rsid w:val="00207F34"/>
    <w:rPr>
      <w:sz w:val="16"/>
      <w:szCs w:val="16"/>
    </w:rPr>
  </w:style>
  <w:style w:type="paragraph" w:styleId="CommentText">
    <w:name w:val="annotation text"/>
    <w:basedOn w:val="Normal"/>
    <w:link w:val="CommentTextChar"/>
    <w:uiPriority w:val="99"/>
    <w:unhideWhenUsed/>
    <w:rsid w:val="00207F34"/>
  </w:style>
  <w:style w:type="character" w:customStyle="1" w:styleId="CommentTextChar">
    <w:name w:val="Comment Text Char"/>
    <w:basedOn w:val="DefaultParagraphFont"/>
    <w:link w:val="CommentText"/>
    <w:uiPriority w:val="99"/>
    <w:rsid w:val="00207F34"/>
    <w:rPr>
      <w:rFonts w:ascii="Arial" w:hAnsi="Arial"/>
      <w:lang w:eastAsia="en-US"/>
    </w:rPr>
  </w:style>
  <w:style w:type="paragraph" w:styleId="CommentSubject">
    <w:name w:val="annotation subject"/>
    <w:basedOn w:val="CommentText"/>
    <w:next w:val="CommentText"/>
    <w:link w:val="CommentSubjectChar"/>
    <w:uiPriority w:val="99"/>
    <w:semiHidden/>
    <w:unhideWhenUsed/>
    <w:rsid w:val="00207F34"/>
    <w:rPr>
      <w:b/>
      <w:bCs/>
    </w:rPr>
  </w:style>
  <w:style w:type="character" w:customStyle="1" w:styleId="CommentSubjectChar">
    <w:name w:val="Comment Subject Char"/>
    <w:basedOn w:val="CommentTextChar"/>
    <w:link w:val="CommentSubject"/>
    <w:uiPriority w:val="99"/>
    <w:semiHidden/>
    <w:rsid w:val="00207F34"/>
    <w:rPr>
      <w:rFonts w:ascii="Arial" w:hAnsi="Arial"/>
      <w:b/>
      <w:bCs/>
      <w:lang w:eastAsia="en-US"/>
    </w:rPr>
  </w:style>
  <w:style w:type="paragraph" w:customStyle="1" w:styleId="pf0">
    <w:name w:val="pf0"/>
    <w:basedOn w:val="Normal"/>
    <w:uiPriority w:val="99"/>
    <w:semiHidden/>
    <w:rsid w:val="00E81E70"/>
    <w:pPr>
      <w:spacing w:before="100" w:beforeAutospacing="1" w:after="100" w:afterAutospacing="1"/>
    </w:pPr>
    <w:rPr>
      <w:rFonts w:ascii="Aptos" w:hAnsi="Aptos" w:cs="Aptos"/>
      <w:sz w:val="24"/>
      <w:szCs w:val="24"/>
      <w:lang w:eastAsia="et-EE"/>
    </w:rPr>
  </w:style>
  <w:style w:type="paragraph" w:styleId="Revision">
    <w:name w:val="Revision"/>
    <w:hidden/>
    <w:uiPriority w:val="99"/>
    <w:semiHidden/>
    <w:rsid w:val="008C2F1F"/>
    <w:rPr>
      <w:rFonts w:ascii="Arial" w:hAnsi="Arial"/>
      <w:lang w:eastAsia="en-US"/>
    </w:rPr>
  </w:style>
  <w:style w:type="character" w:customStyle="1" w:styleId="UnresolvedMention">
    <w:name w:val="Unresolved Mention"/>
    <w:basedOn w:val="DefaultParagraphFont"/>
    <w:uiPriority w:val="99"/>
    <w:semiHidden/>
    <w:unhideWhenUsed/>
    <w:rsid w:val="00C94609"/>
    <w:rPr>
      <w:color w:val="605E5C"/>
      <w:shd w:val="clear" w:color="auto" w:fill="E1DFDD"/>
    </w:rPr>
  </w:style>
  <w:style w:type="paragraph" w:customStyle="1" w:styleId="paragraph">
    <w:name w:val="paragraph"/>
    <w:basedOn w:val="Normal"/>
    <w:rsid w:val="00CE5C49"/>
    <w:pPr>
      <w:spacing w:before="100" w:beforeAutospacing="1" w:after="100" w:afterAutospacing="1"/>
    </w:pPr>
    <w:rPr>
      <w:rFonts w:ascii="Times New Roman" w:hAnsi="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ur-lex.europa.eu/legal-content/ET/TXT/PDF/?uri=CELEX:31999L0070&amp;from=EN"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s3-web-1a.tehik.ee/tooelu-live-web-prd/s3fs-public/2024-09/TLS%20selgitused_2024%20august.pdf" TargetMode="External"/><Relationship Id="rId3" Type="http://schemas.openxmlformats.org/officeDocument/2006/relationships/hyperlink" Target="https://www.fin.ee/sites/default/files/documents/2021-02/avaliku_teenistuse_seaduse_kasiraamat.pdf" TargetMode="External"/><Relationship Id="rId7" Type="http://schemas.openxmlformats.org/officeDocument/2006/relationships/hyperlink" Target="https://www.akadeemia.ee/wp-content/uploads/2023/02/ametnike-teenistussuhete-uleviimine-toolepingulisele-alusele.pdf" TargetMode="External"/><Relationship Id="rId2" Type="http://schemas.openxmlformats.org/officeDocument/2006/relationships/hyperlink" Target="https://www.akadeemia.ee/wp-content/uploads/2023/02/ametnike-teenistussuhete-uleviimine-toolepingulisele-alusele.pdf" TargetMode="External"/><Relationship Id="rId1" Type="http://schemas.openxmlformats.org/officeDocument/2006/relationships/hyperlink" Target="https://www.akadeemia.ee/wp-content/uploads/2023/02/ametnike-teenistussuhete-uleviimine-toolepingulisele-alusele.pdf" TargetMode="External"/><Relationship Id="rId6" Type="http://schemas.openxmlformats.org/officeDocument/2006/relationships/hyperlink" Target="https://www.fin.ee/sites/default/files/documents/2021-02/avaliku_teenistuse_seaduse_kasiraamat.pdf" TargetMode="External"/><Relationship Id="rId5" Type="http://schemas.openxmlformats.org/officeDocument/2006/relationships/hyperlink" Target="https://eur-lex.europa.eu/legal-content/ET/TXT/PDF/?uri=CELEX:31999L0070&amp;from=EN" TargetMode="External"/><Relationship Id="rId4" Type="http://schemas.openxmlformats.org/officeDocument/2006/relationships/hyperlink" Target="https://valitsus.ee/valitsuse-eesmargid-ja-tegevused/valitsemise-alused/koalitsioonilepe-2025-2027"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0F78E-D4B5-412C-8B8B-421C9292F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6292</Words>
  <Characters>36494</Characters>
  <Application>Microsoft Office Word</Application>
  <DocSecurity>0</DocSecurity>
  <Lines>304</Lines>
  <Paragraphs>85</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Justiitsministeerium</Company>
  <LinksUpToDate>false</LinksUpToDate>
  <CharactersWithSpaces>42701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Dokumendihaldustalitus</dc:creator>
  <cp:keywords/>
  <dc:description/>
  <cp:lastModifiedBy>mso service</cp:lastModifiedBy>
  <cp:revision>2</cp:revision>
  <cp:lastPrinted>2014-12-19T09:33:00Z</cp:lastPrinted>
  <dcterms:created xsi:type="dcterms:W3CDTF">2025-10-23T08:38:00Z</dcterms:created>
  <dcterms:modified xsi:type="dcterms:W3CDTF">2025-10-23T08:38:00Z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_tyybid">
    <vt:lpwstr>Väljaminev kiri</vt:lpwstr>
  </property>
  <property fmtid="{D5CDD505-2E9C-101B-9397-08002B2CF9AE}" pid="3" name="Nende_kuup" linkTarget="strNende_kuup">
    <vt:lpwstr/>
  </property>
  <property fmtid="{D5CDD505-2E9C-101B-9397-08002B2CF9AE}" pid="4" name="Kuhu" linkTarget="strKuhu">
    <vt:lpwstr>Asutus</vt:lpwstr>
  </property>
  <property fmtid="{D5CDD505-2E9C-101B-9397-08002B2CF9AE}" pid="5" name="Aadress" linkTarget="strAadress">
    <vt:lpwstr>Aadress</vt:lpwstr>
  </property>
  <property fmtid="{D5CDD505-2E9C-101B-9397-08002B2CF9AE}" pid="6" name="Kellele" linkTarget="strKellele">
    <vt:lpwstr>Isiku nimi</vt:lpwstr>
  </property>
  <property fmtid="{D5CDD505-2E9C-101B-9397-08002B2CF9AE}" pid="7" name="Nende_reg_nr" linkTarget="strNende_reg_nr">
    <vt:lpwstr/>
  </property>
  <property fmtid="{D5CDD505-2E9C-101B-9397-08002B2CF9AE}" pid="8" name="Meie_kuup" linkTarget="strMeie_kuup">
    <vt:lpwstr/>
  </property>
  <property fmtid="{D5CDD505-2E9C-101B-9397-08002B2CF9AE}" pid="9" name="Meie_reg_nr" linkTarget="strMeie_reg_nr">
    <vt:lpwstr/>
  </property>
  <property fmtid="{D5CDD505-2E9C-101B-9397-08002B2CF9AE}" pid="10" name="ContentTypeId">
    <vt:lpwstr>0x010100424565B0BB484D86B5630E8404EF7C0A0005F17F2D2D01427DB94454FA159FD2E700918E2326439FD947B8284AEBB1DAF71F</vt:lpwstr>
  </property>
  <property fmtid="{D5CDD505-2E9C-101B-9397-08002B2CF9AE}" pid="11" name="wayOfSending">
    <vt:lpwstr/>
  </property>
  <property fmtid="{D5CDD505-2E9C-101B-9397-08002B2CF9AE}" pid="12" name="documentSubspecies">
    <vt:lpwstr/>
  </property>
  <property fmtid="{D5CDD505-2E9C-101B-9397-08002B2CF9AE}" pid="13" name="sectionOfficialName">
    <vt:lpwstr/>
  </property>
  <property fmtid="{D5CDD505-2E9C-101B-9397-08002B2CF9AE}" pid="14" name="_DocHome">
    <vt:i4>512734014</vt:i4>
  </property>
  <property fmtid="{D5CDD505-2E9C-101B-9397-08002B2CF9AE}" pid="15" name="delta_recipientJobTitle">
    <vt:lpwstr>{ametinimetus}</vt:lpwstr>
  </property>
  <property fmtid="{D5CDD505-2E9C-101B-9397-08002B2CF9AE}" pid="16" name="delta_docName">
    <vt:lpwstr>{Pealkiri}</vt:lpwstr>
  </property>
  <property fmtid="{D5CDD505-2E9C-101B-9397-08002B2CF9AE}" pid="17" name="delta_regDateTime">
    <vt:lpwstr>{reg.kuupäev}</vt:lpwstr>
  </property>
  <property fmtid="{D5CDD505-2E9C-101B-9397-08002B2CF9AE}" pid="18" name="delta_regNumber">
    <vt:lpwstr>{viit}</vt:lpwstr>
  </property>
  <property fmtid="{D5CDD505-2E9C-101B-9397-08002B2CF9AE}" pid="19" name="delta_senderRegDate">
    <vt:lpwstr>{saatja kpv}</vt:lpwstr>
  </property>
  <property fmtid="{D5CDD505-2E9C-101B-9397-08002B2CF9AE}" pid="20" name="delta_senderRegNumber">
    <vt:lpwstr>{saatja viit}</vt:lpwstr>
  </property>
  <property fmtid="{D5CDD505-2E9C-101B-9397-08002B2CF9AE}" pid="21" name="delta_signerName">
    <vt:lpwstr>{allkirjastaja}</vt:lpwstr>
  </property>
  <property fmtid="{D5CDD505-2E9C-101B-9397-08002B2CF9AE}" pid="22" name="delta_signerJobTitle">
    <vt:lpwstr>{ametikoht}</vt:lpwstr>
  </property>
  <property fmtid="{D5CDD505-2E9C-101B-9397-08002B2CF9AE}" pid="23" name="delta_ownerName">
    <vt:lpwstr>{koostaja}</vt:lpwstr>
  </property>
  <property fmtid="{D5CDD505-2E9C-101B-9397-08002B2CF9AE}" pid="24" name="delta_ownerEmail">
    <vt:lpwstr>{koostaja e-post}</vt:lpwstr>
  </property>
  <property fmtid="{D5CDD505-2E9C-101B-9397-08002B2CF9AE}" pid="25" name="delta_ownerPhone">
    <vt:lpwstr>{koostaja telefon}</vt:lpwstr>
  </property>
  <property fmtid="{D5CDD505-2E9C-101B-9397-08002B2CF9AE}" pid="26" name="delta_recipientPersonName.1">
    <vt:lpwstr>{isiku nimi}</vt:lpwstr>
  </property>
  <property fmtid="{D5CDD505-2E9C-101B-9397-08002B2CF9AE}" pid="27" name="delta_recipientName.1">
    <vt:lpwstr>{asutuse nimi}</vt:lpwstr>
  </property>
  <property fmtid="{D5CDD505-2E9C-101B-9397-08002B2CF9AE}" pid="28" name="delta_recipientStreetHouse.1">
    <vt:lpwstr>{aadress}</vt:lpwstr>
  </property>
  <property fmtid="{D5CDD505-2E9C-101B-9397-08002B2CF9AE}" pid="29" name="delta_recipientPostalCity.1">
    <vt:lpwstr>{indeks, linn}</vt:lpwstr>
  </property>
  <property fmtid="{D5CDD505-2E9C-101B-9397-08002B2CF9AE}" pid="30" name="delta_recipientEmail.1">
    <vt:lpwstr>{e-post}</vt:lpwstr>
  </property>
  <property fmtid="{D5CDD505-2E9C-101B-9397-08002B2CF9AE}" pid="31" name="delta_additionalRecipientName.1">
    <vt:lpwstr>{asutuse nimi}</vt:lpwstr>
  </property>
  <property fmtid="{D5CDD505-2E9C-101B-9397-08002B2CF9AE}" pid="32" name="delta_accessRestrictionBeginDate">
    <vt:lpwstr>{kehtivuse algus}</vt:lpwstr>
  </property>
  <property fmtid="{D5CDD505-2E9C-101B-9397-08002B2CF9AE}" pid="33" name="delta_accessRestrictionEndDate">
    <vt:lpwstr>{kehtiv kuni}</vt:lpwstr>
  </property>
  <property fmtid="{D5CDD505-2E9C-101B-9397-08002B2CF9AE}" pid="34" name="delta_accessRestrictionEndDesc">
    <vt:lpwstr>{kehtiv kuni kirjeldus}</vt:lpwstr>
  </property>
  <property fmtid="{D5CDD505-2E9C-101B-9397-08002B2CF9AE}" pid="35" name="delta_accessRestrictionReason">
    <vt:lpwstr>{alus}</vt:lpwstr>
  </property>
  <property fmtid="{D5CDD505-2E9C-101B-9397-08002B2CF9AE}" pid="36" name="delta_additionalRecipientPersonName.1">
    <vt:lpwstr>{isiku nimi}</vt:lpwstr>
  </property>
  <property fmtid="{D5CDD505-2E9C-101B-9397-08002B2CF9AE}" pid="37" name="delta_ownerOrgStructUnit">
    <vt:lpwstr>{struktuuriüksus}</vt:lpwstr>
  </property>
  <property fmtid="{D5CDD505-2E9C-101B-9397-08002B2CF9AE}" pid="38" name="delta_additionalRecipientName.2">
    <vt:lpwstr>{asutuse nimi}</vt:lpwstr>
  </property>
  <property fmtid="{D5CDD505-2E9C-101B-9397-08002B2CF9AE}" pid="39" name="delta_additionalRecipientPersonName.2">
    <vt:lpwstr>{isiku nimi}</vt:lpwstr>
  </property>
  <property fmtid="{D5CDD505-2E9C-101B-9397-08002B2CF9AE}" pid="40" name="MSIP_Label_defa4170-0d19-0005-0004-bc88714345d2_Enabled">
    <vt:lpwstr>true</vt:lpwstr>
  </property>
  <property fmtid="{D5CDD505-2E9C-101B-9397-08002B2CF9AE}" pid="41" name="MSIP_Label_defa4170-0d19-0005-0004-bc88714345d2_SetDate">
    <vt:lpwstr>2025-06-10T11:31:26Z</vt:lpwstr>
  </property>
  <property fmtid="{D5CDD505-2E9C-101B-9397-08002B2CF9AE}" pid="42" name="MSIP_Label_defa4170-0d19-0005-0004-bc88714345d2_Method">
    <vt:lpwstr>Standard</vt:lpwstr>
  </property>
  <property fmtid="{D5CDD505-2E9C-101B-9397-08002B2CF9AE}" pid="43" name="MSIP_Label_defa4170-0d19-0005-0004-bc88714345d2_Name">
    <vt:lpwstr>defa4170-0d19-0005-0004-bc88714345d2</vt:lpwstr>
  </property>
  <property fmtid="{D5CDD505-2E9C-101B-9397-08002B2CF9AE}" pid="44" name="MSIP_Label_defa4170-0d19-0005-0004-bc88714345d2_SiteId">
    <vt:lpwstr>8fe098d2-428d-4bd4-9803-7195fe96f0e2</vt:lpwstr>
  </property>
  <property fmtid="{D5CDD505-2E9C-101B-9397-08002B2CF9AE}" pid="45" name="MSIP_Label_defa4170-0d19-0005-0004-bc88714345d2_ActionId">
    <vt:lpwstr>52c74c13-f865-42f9-b46f-1917832a89a9</vt:lpwstr>
  </property>
  <property fmtid="{D5CDD505-2E9C-101B-9397-08002B2CF9AE}" pid="46" name="MSIP_Label_defa4170-0d19-0005-0004-bc88714345d2_ContentBits">
    <vt:lpwstr>0</vt:lpwstr>
  </property>
  <property fmtid="{D5CDD505-2E9C-101B-9397-08002B2CF9AE}" pid="47" name="MSIP_Label_defa4170-0d19-0005-0004-bc88714345d2_Tag">
    <vt:lpwstr>10, 3, 0, 1</vt:lpwstr>
  </property>
</Properties>
</file>